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0" w:rsidRPr="00207940" w:rsidRDefault="00207940" w:rsidP="00207940">
      <w:pPr>
        <w:pStyle w:val="1"/>
        <w:spacing w:before="0" w:beforeAutospacing="0" w:after="225" w:afterAutospacing="0"/>
        <w:rPr>
          <w:b w:val="0"/>
          <w:bCs w:val="0"/>
          <w:color w:val="342E2F"/>
          <w:sz w:val="40"/>
          <w:szCs w:val="40"/>
        </w:rPr>
      </w:pPr>
      <w:r w:rsidRPr="00207940">
        <w:rPr>
          <w:rFonts w:ascii="Georgia" w:hAnsi="Georgia"/>
          <w:b w:val="0"/>
          <w:bCs w:val="0"/>
          <w:color w:val="342E2F"/>
          <w:sz w:val="40"/>
          <w:szCs w:val="40"/>
        </w:rPr>
        <w:t>«</w:t>
      </w:r>
      <w:r w:rsidRPr="00207940">
        <w:rPr>
          <w:b w:val="0"/>
          <w:bCs w:val="0"/>
          <w:color w:val="342E2F"/>
          <w:sz w:val="40"/>
          <w:szCs w:val="40"/>
        </w:rPr>
        <w:t>Безопасный труд лиц моложе 18 лет»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  <w:sz w:val="32"/>
          <w:szCs w:val="32"/>
        </w:rPr>
      </w:pPr>
      <w:r w:rsidRPr="00207940">
        <w:rPr>
          <w:color w:val="242424"/>
          <w:sz w:val="32"/>
          <w:szCs w:val="32"/>
        </w:rPr>
        <w:t>Методическое пособие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</w:rPr>
      </w:pPr>
      <w:r w:rsidRPr="00207940">
        <w:rPr>
          <w:color w:val="242424"/>
        </w:rPr>
        <w:t>«Безопасный труд лиц моложе 18 лет»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1.     Введение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Данное пособие разработано в целях повышения уровня знаний в области организации труда лиц моложе 18 лет (далее – подросткам) работодателям, использующим или имеющим намерение использовать труд подростков, родителям (опекунам, попечителям), а так же подросткам, заключившим или желающим заключить трудовые отношения с работодателем.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2. Нормативные правовые акты,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</w:rPr>
      </w:pPr>
      <w:proofErr w:type="gramStart"/>
      <w:r w:rsidRPr="00207940">
        <w:rPr>
          <w:color w:val="242424"/>
        </w:rPr>
        <w:t>регламентирующие</w:t>
      </w:r>
      <w:proofErr w:type="gramEnd"/>
      <w:r w:rsidRPr="00207940">
        <w:rPr>
          <w:color w:val="242424"/>
        </w:rPr>
        <w:t xml:space="preserve"> труд лиц моложе 18 лет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Нормативными правовыми актами, регламентирующими труд работников моложе 18 лет являются</w:t>
      </w:r>
      <w:proofErr w:type="gramEnd"/>
      <w:r w:rsidRPr="00207940">
        <w:rPr>
          <w:color w:val="242424"/>
        </w:rPr>
        <w:t>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1. Трудовой кодекс Российской Федерации (далее – ТК РФ).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2. Постановление Правительства Российской Федерации от 25.02.2000 г. № 163 «Об утверждении перечней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207940" w:rsidRPr="00207940" w:rsidRDefault="00207940" w:rsidP="0020794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207940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207940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 Правительства Российской Федерации от 28 апреля 2007 г. № 252 «Об утверждении перечня профессий и должностей творческих работников средств массовой информации, организаций кинематографии, теле - и </w:t>
      </w:r>
      <w:proofErr w:type="spellStart"/>
      <w:r w:rsidRPr="00207940">
        <w:rPr>
          <w:rFonts w:ascii="Times New Roman" w:hAnsi="Times New Roman" w:cs="Times New Roman"/>
          <w:color w:val="333333"/>
          <w:sz w:val="24"/>
          <w:szCs w:val="24"/>
        </w:rPr>
        <w:t>видеосъемочных</w:t>
      </w:r>
      <w:proofErr w:type="spellEnd"/>
      <w:r w:rsidRPr="00207940">
        <w:rPr>
          <w:rFonts w:ascii="Times New Roman" w:hAnsi="Times New Roman" w:cs="Times New Roman"/>
          <w:color w:val="333333"/>
          <w:sz w:val="24"/>
          <w:szCs w:val="24"/>
        </w:rPr>
        <w:t xml:space="preserve"> коллективов,</w:t>
      </w:r>
      <w:r w:rsidRPr="0020794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tgtFrame="_blank" w:history="1">
        <w:r w:rsidRPr="00207940">
          <w:rPr>
            <w:rStyle w:val="a5"/>
            <w:rFonts w:ascii="Times New Roman" w:hAnsi="Times New Roman" w:cs="Times New Roman"/>
            <w:b/>
            <w:bCs/>
            <w:color w:val="1D85B3"/>
            <w:sz w:val="24"/>
            <w:szCs w:val="24"/>
          </w:rPr>
          <w:t>театров</w:t>
        </w:r>
      </w:hyperlink>
      <w:r w:rsidRPr="00207940">
        <w:rPr>
          <w:rFonts w:ascii="Times New Roman" w:hAnsi="Times New Roman" w:cs="Times New Roman"/>
          <w:color w:val="333333"/>
          <w:sz w:val="24"/>
          <w:szCs w:val="24"/>
        </w:rPr>
        <w:t>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Федерации».</w:t>
      </w:r>
      <w:proofErr w:type="gramEnd"/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4. Постановление Министерства труда и социального развития Российской Федерации от 7 апреля 1999 г. №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5. </w:t>
      </w:r>
      <w:proofErr w:type="spellStart"/>
      <w:r w:rsidRPr="00207940">
        <w:rPr>
          <w:color w:val="242424"/>
        </w:rPr>
        <w:t>СанПиН</w:t>
      </w:r>
      <w:proofErr w:type="spellEnd"/>
      <w:r w:rsidRPr="00207940">
        <w:rPr>
          <w:color w:val="242424"/>
        </w:rPr>
        <w:t xml:space="preserve"> 2.4.6.2553-09 «Санитарно-эпидемиологические требования к безопасности условий труда работников, не достигших18-летнего возраста».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3. Ограничения трудоустройства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        3.1. Ограничения по возрасту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>В соответствии со статьей 63 ТК РФ заключение трудового договора допускается с лицами, достигшими возраста 16 лет.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Работодатель имеет возможность заключения трудового договора с лицами,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получившими общее образование или получающими общее образование и достигшими возраста пятнадцати лет, для выполнения легкого труда, не причиняющего вреда их здоровью (статья 63 ТК РФ).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14 лет, для выполнения в свободное от учебы время легкого труда, не причиняющего вреда здоровью и не нарушающего процесса обучения (статья 63 ТК РФ).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Согласие органа опеки и попечительства на заключение трудового договора с учащимся, достигшим возраста 14 лет, для выполнения труда в свободное от учебы время оформляется в порядке, установленном законодательными и нормативными правовыми актами, регламентирующими деятельность органов опеки и попечительства. Основанием для его дачи может являться заявление родителя (попечителя) ребенка с просьбой дать согласие на заключение трудового договора между конкретным работодателем и ребенком или же непосредственное обращение работодателя.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Условиями для возможного заключения трудового возраста с лицами, достигшими возраста 14 лет, являются: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обучение в школе;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выполняемая работа, должна быть легкой, не причиняющей вреда его здоровью;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работа должна выполняться в свободное от учебы время и не нарушать процесса обучения;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родители (попечители) и орган опеки и попечительства должны дать согласие на заключение трудового договора.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Согласно статьи</w:t>
      </w:r>
      <w:proofErr w:type="gramEnd"/>
      <w:r w:rsidRPr="00207940">
        <w:rPr>
          <w:color w:val="242424"/>
        </w:rPr>
        <w:t xml:space="preserve"> 63 ТК РФ возможно заключение трудового договора с лицами, не достигшими возраста 14 лет, но при выполнении следующих условий: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1) труд используется только </w:t>
      </w:r>
      <w:proofErr w:type="gramStart"/>
      <w:r w:rsidRPr="00207940">
        <w:rPr>
          <w:color w:val="242424"/>
        </w:rPr>
        <w:t>в</w:t>
      </w:r>
      <w:proofErr w:type="gramEnd"/>
      <w:r w:rsidRPr="00207940">
        <w:rPr>
          <w:color w:val="242424"/>
        </w:rPr>
        <w:t>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</w:t>
      </w:r>
      <w:proofErr w:type="gramStart"/>
      <w:r w:rsidRPr="00207940">
        <w:rPr>
          <w:color w:val="242424"/>
        </w:rPr>
        <w:t>организациях</w:t>
      </w:r>
      <w:proofErr w:type="gramEnd"/>
      <w:r w:rsidRPr="00207940">
        <w:rPr>
          <w:color w:val="242424"/>
        </w:rPr>
        <w:t xml:space="preserve"> кинематографии;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</w:t>
      </w:r>
      <w:r w:rsidRPr="00207940">
        <w:rPr>
          <w:rStyle w:val="apple-converted-space"/>
          <w:color w:val="242424"/>
        </w:rPr>
        <w:t> </w:t>
      </w:r>
      <w:hyperlink r:id="rId6" w:tgtFrame="_blank" w:history="1">
        <w:proofErr w:type="gramStart"/>
        <w:r w:rsidRPr="00207940">
          <w:rPr>
            <w:rStyle w:val="a5"/>
            <w:b/>
            <w:bCs/>
            <w:color w:val="1D85B3"/>
          </w:rPr>
          <w:t>театрах</w:t>
        </w:r>
        <w:proofErr w:type="gramEnd"/>
      </w:hyperlink>
      <w:r w:rsidRPr="00207940">
        <w:rPr>
          <w:color w:val="242424"/>
        </w:rPr>
        <w:t>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театральных </w:t>
      </w:r>
      <w:proofErr w:type="gramStart"/>
      <w:r w:rsidRPr="00207940">
        <w:rPr>
          <w:color w:val="242424"/>
        </w:rPr>
        <w:t>организациях</w:t>
      </w:r>
      <w:proofErr w:type="gramEnd"/>
      <w:r w:rsidRPr="00207940">
        <w:rPr>
          <w:color w:val="242424"/>
        </w:rPr>
        <w:t>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концертных </w:t>
      </w:r>
      <w:proofErr w:type="gramStart"/>
      <w:r w:rsidRPr="00207940">
        <w:rPr>
          <w:color w:val="242424"/>
        </w:rPr>
        <w:t>организациях</w:t>
      </w:r>
      <w:proofErr w:type="gramEnd"/>
      <w:r w:rsidRPr="00207940">
        <w:rPr>
          <w:color w:val="242424"/>
        </w:rPr>
        <w:t>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</w:t>
      </w:r>
      <w:proofErr w:type="gramStart"/>
      <w:r w:rsidRPr="00207940">
        <w:rPr>
          <w:color w:val="242424"/>
        </w:rPr>
        <w:t>цирках</w:t>
      </w:r>
      <w:proofErr w:type="gramEnd"/>
      <w:r w:rsidRPr="00207940">
        <w:rPr>
          <w:color w:val="242424"/>
        </w:rPr>
        <w:t>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lastRenderedPageBreak/>
        <w:t>Это означает, что никакие другие организации, не относящиеся к указанным в перечне, например модельные и рекламные агентства, не вправе привлекать лиц, не достигших возраста 14 лет, к демонстрации одежды, проведению рекламных кампаний и т.д.;</w:t>
      </w:r>
      <w:proofErr w:type="gramEnd"/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2) трудовая функция заключается исключительно в создании и (или) исполнении произведений, при этом никакое иное использование навыков и способностей лиц, не достигших возраста 14 лет, в данных организациях (например, в качестве младшего обслуживающего или технического персонала) не допускается;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3) выполнение трудовой функции не причиняет им ущерба здоровью и нравственному развитию;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4) на использование труда лиц, не достигших возраста 14 лет, согласие дал один из родителей (законных представителей);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5) использование труда лиц, не достигших возраста 14 лет, санкционировано органом опеки и попечительства.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3.2. Документы, предъявляемые при заключении трудового договора с лицом, не достигшим соответствующего возраста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заключении трудового договора с лицами, не достигшими 14-летнего возраста, необходимы следующие документы: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согласие одного из родителей (опекуна);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разрешение органа опеки и попечительства, в котором должна быть указана продолжительность работы и другие условия;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медицинская справка о состоянии здоровья.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заключении трудового договора с лицами, достигшими 14-летнего возраста, необходимы следующие документы: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паспорт или иной документ, удостоверяющий личность;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трудовая книжка (за исключением случаев поступления на работу впервые, оформления на условиях совместительства, утраты, повреждения трудовой книжки);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страховое свидетельство государственного пенсионного страхования (за исключением случаев поступления на работу впервые, а также утраты свидетельства);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медицинская справка о состоянии здоровья;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документ, подтверждающий согласие одного из родителей (попечителя) на заключение трудового договора;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>- документ, подтверждающий согласие органа опеки и попечительства;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документ из образовательного учреждения с указанием режима обучения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заключении трудового договора с лицами от 15 до 16 лет необходимы следующие документы: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паспорт или иной документ, удостоверяющий личность;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трудовая книжка (за исключением случаев поступления на работу впервые, оформления на условиях совместительства, утраты, повреждения трудовой книжки);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страховое свидетельство государственного пенсионного страхования (за исключением случаев поступления на работу впервые, а также утраты свидетельства);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медицинская справка о состоянии здоровья;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подготовки), или документ, подтверждающий освоение основной общеобразовательной программы общего образования по иной, чем </w:t>
      </w:r>
      <w:proofErr w:type="gramStart"/>
      <w:r w:rsidRPr="00207940">
        <w:rPr>
          <w:color w:val="242424"/>
        </w:rPr>
        <w:t>очная</w:t>
      </w:r>
      <w:proofErr w:type="gramEnd"/>
      <w:r w:rsidRPr="00207940">
        <w:rPr>
          <w:color w:val="242424"/>
        </w:rPr>
        <w:t>, форме обучения, или документ, подтверждающий оставление общеобразовательного учреждения до получения общего образования.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заключении трудового договора с лицами от 16 до 18 лет необходимы следующие документы: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паспорт или иной документ, удостоверяющий личность;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трудовая книжка (за исключением случаев поступления на работу впервые, оформления на условиях совместительства, утраты, повреждения трудовой книжки);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страховое свидетельство государственного пенсионного страхования (за исключением случаев поступления на работу впервые, а также утраты свидетельства);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документы воинского учета для лиц, подлежащих призыву на военную службу (приписное свидетельство);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медицинскую справку о состоянии здоровья.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4. Ограничения на применение труда, лиц моложе 18 лет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4.1. Ограничения выполнения отдельных видов работ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>Трудовое законодательство запрещает применение труда лиц до 18 лет (далее – подростки) в некоторых сферах деятельности и видах работ.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Так, в статье 265 ТК РФ перечислены работы, на которых запрещается использование труда лиц, не достигших 18 лет (далее – подростки).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К таким работам относятся: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работы с вредными и (или) опасными условиями труда, подземные работы. Такие работы приведены в Перечне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утвержденным Постановлением Правительства Российской Федерации от 25.02.2000 г. № 163 (далее – Перечень);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работы, выполнение которых может причинить вред здоровью и нравственному развитию несовершеннолетних (игорный бизнес, работы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При прохождении производственной практики (производственного обучения) учащиеся общеобразовательных и образовательных учреждений начального профессионального образования, студенты образовательных учреждений среднего профессионального образования, достигшие шестнадцатилетнего возраста, могут находиться на работах, включенных в Перечень, не свыше четырех часов в день при условии строгого соблюдения на этих работах действующих санитарных правил и норм и правил по охране труда.</w:t>
      </w:r>
      <w:proofErr w:type="gramEnd"/>
      <w:r w:rsidRPr="00207940">
        <w:rPr>
          <w:color w:val="242424"/>
        </w:rPr>
        <w:t xml:space="preserve"> Разрешение на прохождение производственной практики не распространяется на отдельные условия и виды работ (работа на высоте, верхолазные, взрывоопасные работы, подземные и подводные работы).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Профессиональная подготовка на производстве по работам и профессиям, включенным в Перечень, допускается для лиц не моложе семнадцати лет при условии достижения к моменту окончания обучения восемнадцатилетнего возраста.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Выпускники образовательных учреждений начального и среднего профессионального образования, закончившие профессиональную подготовку со сроком обучения не менее трех лет по профессиям, включенным в Перечень, и не достигшие восемнадцатилетнего возраста,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труда.</w:t>
      </w:r>
      <w:proofErr w:type="gramEnd"/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Работодатель может принимать решение о применении труда лиц моложе восемнадцати лет на работах, включенных в Перечень, при условии создания безопасных условий труда, подтвержденных результатами аттестации рабочих мест по условиям труда, при положительном заключении государственной экспертизы условий труда Министерства труда Удмуртской Республики и Территориального управления Федеральной службы по надзору в сфере защиты прав потребителей и благополучия человека по Удмуртской Республике.</w:t>
      </w:r>
      <w:proofErr w:type="gramEnd"/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Согласно статьи</w:t>
      </w:r>
      <w:proofErr w:type="gramEnd"/>
      <w:r w:rsidRPr="00207940">
        <w:rPr>
          <w:color w:val="242424"/>
        </w:rPr>
        <w:t xml:space="preserve"> 268 ТК РФ подростков запрещается: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направлять в служебные командировки;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>- привлекать к сверхурочной работе, работе в ночное время, в выходные и нерабочие праздничные дни.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Указанный запрет не распространяется: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на творческих работников средств массовой информации, организаций кинематографии, тел</w:t>
      </w:r>
      <w:proofErr w:type="gramStart"/>
      <w:r w:rsidRPr="00207940">
        <w:rPr>
          <w:color w:val="242424"/>
        </w:rPr>
        <w:t>е-</w:t>
      </w:r>
      <w:proofErr w:type="gramEnd"/>
      <w:r w:rsidRPr="00207940">
        <w:rPr>
          <w:color w:val="242424"/>
        </w:rPr>
        <w:t xml:space="preserve"> и </w:t>
      </w:r>
      <w:proofErr w:type="spellStart"/>
      <w:r w:rsidRPr="00207940">
        <w:rPr>
          <w:color w:val="242424"/>
        </w:rPr>
        <w:t>видеосъемочных</w:t>
      </w:r>
      <w:proofErr w:type="spellEnd"/>
      <w:r w:rsidRPr="00207940">
        <w:rPr>
          <w:color w:val="242424"/>
        </w:rPr>
        <w:t xml:space="preserve"> коллективов,</w:t>
      </w:r>
      <w:r w:rsidRPr="00207940">
        <w:rPr>
          <w:rStyle w:val="apple-converted-space"/>
          <w:color w:val="242424"/>
        </w:rPr>
        <w:t> </w:t>
      </w:r>
      <w:hyperlink r:id="rId7" w:tgtFrame="_blank" w:history="1">
        <w:r w:rsidRPr="00207940">
          <w:rPr>
            <w:rStyle w:val="a5"/>
            <w:b/>
            <w:bCs/>
            <w:color w:val="1D85B3"/>
          </w:rPr>
          <w:t>театров</w:t>
        </w:r>
      </w:hyperlink>
      <w:r w:rsidRPr="00207940">
        <w:rPr>
          <w:color w:val="242424"/>
        </w:rPr>
        <w:t xml:space="preserve">, театральных и концертных организаций, цирков и иных лиц, участвующих в создании и (или) исполнении (экспонировании) произведений в соответствии с перечнями работ, профессий, должностей этих работников (Перечень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207940">
        <w:rPr>
          <w:color w:val="242424"/>
        </w:rPr>
        <w:t>видеосъемочных</w:t>
      </w:r>
      <w:proofErr w:type="spellEnd"/>
      <w:r w:rsidRPr="00207940">
        <w:rPr>
          <w:color w:val="242424"/>
        </w:rPr>
        <w:t xml:space="preserve"> коллективов,</w:t>
      </w:r>
      <w:r w:rsidRPr="00207940">
        <w:rPr>
          <w:rStyle w:val="apple-converted-space"/>
          <w:color w:val="242424"/>
        </w:rPr>
        <w:t> </w:t>
      </w:r>
      <w:hyperlink r:id="rId8" w:tgtFrame="_blank" w:history="1">
        <w:r w:rsidRPr="00207940">
          <w:rPr>
            <w:rStyle w:val="a5"/>
            <w:b/>
            <w:bCs/>
            <w:color w:val="1D85B3"/>
          </w:rPr>
          <w:t>театров</w:t>
        </w:r>
      </w:hyperlink>
      <w:r w:rsidRPr="00207940">
        <w:rPr>
          <w:color w:val="242424"/>
        </w:rPr>
        <w:t>, театральных и концертных организаций, цирков и иных лиц, участвующих в создании и (или) исполнении (экспонировании) произведений, утвержден Постановлением Правительства Российской Федерации от 28.04.2007 г. № 252);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спортсменов в возрасте до 18 лет (статья 348.8 ТК РФ).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Кроме того, лица до достижения ими возраста 18 лет не могут привлекаться к работам: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по совместительству (статья 282 ТК РФ);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вахтовым методом (статья 298 ТК РФ);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религиозных организациях (статья 342 ТК РФ).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В соответствии со статьей 70 ТК РФ при приеме на работу лицам, не достигшим возраста 18 лет, не устанавливается испытательный срок.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4.2. Ограничения при переноске тяжестей подростками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Работодателю запрещается применять труд подростков на работах, связанных с переноской и передвижением тяжестей вручную свыше установленных норм.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Нормы переноски и передвижения тяжестей вручную для подростков (юношей и девушек) приведены в таблицах 1 и 2.</w:t>
      </w:r>
    </w:p>
    <w:p w:rsidR="00207940" w:rsidRPr="00207940" w:rsidRDefault="00207940" w:rsidP="00207940">
      <w:pPr>
        <w:pStyle w:val="a3"/>
        <w:spacing w:after="150" w:afterAutospacing="0"/>
        <w:jc w:val="right"/>
        <w:rPr>
          <w:color w:val="242424"/>
        </w:rPr>
      </w:pPr>
      <w:r w:rsidRPr="00207940">
        <w:rPr>
          <w:color w:val="242424"/>
        </w:rPr>
        <w:t>Таблица 1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Нормы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переноски и передвижения тяжестей вручную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для подростков (юношей)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5"/>
        <w:gridCol w:w="750"/>
        <w:gridCol w:w="750"/>
        <w:gridCol w:w="750"/>
        <w:gridCol w:w="750"/>
      </w:tblGrid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Показатели тяжести труда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Юноши, лет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17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Подъем и перемещение груза вручную в течение смены (</w:t>
            </w:r>
            <w:proofErr w:type="gramStart"/>
            <w:r w:rsidRPr="00207940">
              <w:rPr>
                <w:color w:val="242424"/>
              </w:rPr>
              <w:t>кг</w:t>
            </w:r>
            <w:proofErr w:type="gramEnd"/>
            <w:r w:rsidRPr="00207940">
              <w:rPr>
                <w:color w:val="242424"/>
              </w:rPr>
              <w:t>)*: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постоянно (более 2-х раз в час)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при чередовании с другой работой (до 2-х раз в час)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6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11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13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24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Суммарная масса груза, перемещаемого в течение смены (</w:t>
            </w:r>
            <w:proofErr w:type="gramStart"/>
            <w:r w:rsidRPr="00207940">
              <w:rPr>
                <w:color w:val="242424"/>
              </w:rPr>
              <w:t>кг</w:t>
            </w:r>
            <w:proofErr w:type="gramEnd"/>
            <w:r w:rsidRPr="00207940">
              <w:rPr>
                <w:color w:val="242424"/>
              </w:rPr>
              <w:t>):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подъем с рабочей поверхности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подъем с пола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500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250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500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700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Периодическое удержание груза на весу (деталей инструмента и др.), приложение усилий в течение смены (</w:t>
            </w:r>
            <w:proofErr w:type="gramStart"/>
            <w:r w:rsidRPr="00207940">
              <w:rPr>
                <w:color w:val="242424"/>
              </w:rPr>
              <w:t>кг</w:t>
            </w:r>
            <w:proofErr w:type="gramEnd"/>
            <w:r w:rsidRPr="00207940">
              <w:rPr>
                <w:color w:val="242424"/>
              </w:rPr>
              <w:t xml:space="preserve"> </w:t>
            </w:r>
            <w:proofErr w:type="spellStart"/>
            <w:r w:rsidRPr="00207940">
              <w:rPr>
                <w:color w:val="242424"/>
              </w:rPr>
              <w:t>х</w:t>
            </w:r>
            <w:proofErr w:type="spellEnd"/>
            <w:r w:rsidRPr="00207940">
              <w:rPr>
                <w:color w:val="242424"/>
              </w:rPr>
              <w:t xml:space="preserve"> сек):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одной рукой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двумя руками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с участием мышц корпуса и ног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14000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9000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18000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50000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22000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45000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60000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Работы, связанные с локальным напряжением мышц (количество движений за смену):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преимущественно мышц кистей и пальцев рук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преимущественно мышц рук и плечевого пояса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15000</w:t>
            </w:r>
          </w:p>
        </w:tc>
      </w:tr>
    </w:tbl>
    <w:p w:rsidR="00207940" w:rsidRPr="00207940" w:rsidRDefault="00207940" w:rsidP="00207940">
      <w:pPr>
        <w:pStyle w:val="a3"/>
        <w:spacing w:after="150" w:afterAutospacing="0"/>
        <w:jc w:val="right"/>
        <w:rPr>
          <w:color w:val="242424"/>
        </w:rPr>
      </w:pPr>
      <w:r w:rsidRPr="00207940">
        <w:rPr>
          <w:color w:val="242424"/>
        </w:rPr>
        <w:t>Таблица 2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Нормы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переноски и передвижения тяжестей вручную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для подростков (девушек)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5"/>
        <w:gridCol w:w="750"/>
        <w:gridCol w:w="750"/>
        <w:gridCol w:w="750"/>
        <w:gridCol w:w="750"/>
      </w:tblGrid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Показатели тяжести труда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Девушки, лет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17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Подъем и перемещение груза вручную в течение смены (</w:t>
            </w:r>
            <w:proofErr w:type="gramStart"/>
            <w:r w:rsidRPr="00207940">
              <w:rPr>
                <w:color w:val="242424"/>
              </w:rPr>
              <w:t>кг</w:t>
            </w:r>
            <w:proofErr w:type="gramEnd"/>
            <w:r w:rsidRPr="00207940">
              <w:rPr>
                <w:color w:val="242424"/>
              </w:rPr>
              <w:t>)*: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- постоянно (более 2-х раз в час)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при чередовании с другой работой (до 2-х раз в час)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3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4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6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8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Суммарная масса груза, перемещаемого в течение смены (</w:t>
            </w:r>
            <w:proofErr w:type="gramStart"/>
            <w:r w:rsidRPr="00207940">
              <w:rPr>
                <w:color w:val="242424"/>
              </w:rPr>
              <w:t>кг</w:t>
            </w:r>
            <w:proofErr w:type="gramEnd"/>
            <w:r w:rsidRPr="00207940">
              <w:rPr>
                <w:color w:val="242424"/>
              </w:rPr>
              <w:t>):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подъем с рабочей поверхности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подъем с пола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180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90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500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250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Периодическое удержание груза на весу (деталей инструмента и др.), приложение усилий в течение смены (</w:t>
            </w:r>
            <w:proofErr w:type="gramStart"/>
            <w:r w:rsidRPr="00207940">
              <w:rPr>
                <w:color w:val="242424"/>
              </w:rPr>
              <w:t>кг</w:t>
            </w:r>
            <w:proofErr w:type="gramEnd"/>
            <w:r w:rsidRPr="00207940">
              <w:rPr>
                <w:color w:val="242424"/>
              </w:rPr>
              <w:t xml:space="preserve"> </w:t>
            </w:r>
            <w:proofErr w:type="spellStart"/>
            <w:r w:rsidRPr="00207940">
              <w:rPr>
                <w:color w:val="242424"/>
              </w:rPr>
              <w:t>х</w:t>
            </w:r>
            <w:proofErr w:type="spellEnd"/>
            <w:r w:rsidRPr="00207940">
              <w:rPr>
                <w:color w:val="242424"/>
              </w:rPr>
              <w:t xml:space="preserve"> сек):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одной рукой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двумя руками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с участием мышц корпуса и ног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8000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12000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5000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8000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16000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9000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18000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25000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Работы, связанные с локальным напряжением мышц (количество движений за смену):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преимущественно мышц кистей и пальцев рук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преимущественно мышц рук и плечевого пояса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15000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30000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15000</w:t>
            </w:r>
          </w:p>
        </w:tc>
      </w:tr>
    </w:tbl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4.3. Ограничения условий труда подростков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Работодателю запрещается применять труд подростков на работах с условиями труда свыше установленных норм.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Нормы условий труда для подростков (юношей и девушек) приведены в таблицах 3 и 4.</w:t>
      </w:r>
    </w:p>
    <w:p w:rsidR="00207940" w:rsidRPr="00207940" w:rsidRDefault="00207940" w:rsidP="00207940">
      <w:pPr>
        <w:pStyle w:val="a3"/>
        <w:spacing w:after="150" w:afterAutospacing="0"/>
        <w:jc w:val="right"/>
        <w:rPr>
          <w:color w:val="242424"/>
        </w:rPr>
      </w:pPr>
      <w:r w:rsidRPr="00207940">
        <w:rPr>
          <w:color w:val="242424"/>
        </w:rPr>
        <w:t>Таблица 3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Нормы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условий труда для подростков (юношей)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1"/>
        <w:gridCol w:w="641"/>
        <w:gridCol w:w="641"/>
        <w:gridCol w:w="641"/>
        <w:gridCol w:w="641"/>
      </w:tblGrid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Показатели условий труда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Девушки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14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16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17 лет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Рабочая поза: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нахождение в неудобной фиксированной позе: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максимальная длительность нахождения в вынужденной позе (мин)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минимальные перерывы между периодами нахождения в вынужденной позе (мин)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максимальная суммарная длительность нахождения в вынужденной позе за смену (</w:t>
            </w:r>
            <w:proofErr w:type="gramStart"/>
            <w:r w:rsidRPr="00207940">
              <w:rPr>
                <w:color w:val="242424"/>
              </w:rPr>
              <w:t>ч</w:t>
            </w:r>
            <w:proofErr w:type="gramEnd"/>
            <w:r w:rsidRPr="00207940">
              <w:rPr>
                <w:color w:val="242424"/>
              </w:rPr>
              <w:t>.)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proofErr w:type="gramStart"/>
            <w:r w:rsidRPr="00207940">
              <w:rPr>
                <w:color w:val="242424"/>
              </w:rPr>
              <w:t>- вынужденные наклоны корпуса (по визуальной оценки более 30</w:t>
            </w:r>
            <w:r w:rsidRPr="00207940">
              <w:rPr>
                <w:color w:val="242424"/>
                <w:vertAlign w:val="superscript"/>
              </w:rPr>
              <w:t>о</w:t>
            </w:r>
            <w:r w:rsidRPr="00207940">
              <w:rPr>
                <w:rStyle w:val="apple-converted-space"/>
                <w:color w:val="242424"/>
              </w:rPr>
              <w:t> </w:t>
            </w:r>
            <w:r w:rsidRPr="00207940">
              <w:rPr>
                <w:color w:val="242424"/>
              </w:rPr>
              <w:t>от вертикали (количество за смену)</w:t>
            </w:r>
            <w:proofErr w:type="gramEnd"/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перемещение в пространстве (переходы, обусловленные технологическим процессом в течение смены) (</w:t>
            </w:r>
            <w:proofErr w:type="gramStart"/>
            <w:r w:rsidRPr="00207940">
              <w:rPr>
                <w:color w:val="242424"/>
              </w:rPr>
              <w:t>км</w:t>
            </w:r>
            <w:proofErr w:type="gramEnd"/>
            <w:r w:rsidRPr="00207940">
              <w:rPr>
                <w:color w:val="242424"/>
              </w:rPr>
              <w:t>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1,5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60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1,5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60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</w:t>
            </w:r>
          </w:p>
        </w:tc>
      </w:tr>
    </w:tbl>
    <w:p w:rsidR="00207940" w:rsidRPr="00207940" w:rsidRDefault="00207940" w:rsidP="00207940">
      <w:pPr>
        <w:pStyle w:val="a3"/>
        <w:spacing w:after="150" w:afterAutospacing="0"/>
        <w:jc w:val="right"/>
        <w:rPr>
          <w:color w:val="242424"/>
        </w:rPr>
      </w:pPr>
      <w:r w:rsidRPr="00207940">
        <w:rPr>
          <w:color w:val="242424"/>
        </w:rPr>
        <w:t>Таблица 4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Нормы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условий труда для подростков (девушек)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1"/>
        <w:gridCol w:w="641"/>
        <w:gridCol w:w="641"/>
        <w:gridCol w:w="641"/>
        <w:gridCol w:w="641"/>
      </w:tblGrid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Показатели условий труда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Юноши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14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16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17 лет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Рабочая поза: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нахождение в неудобной фиксированной позе: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максимальная длительность нахождения в вынужденной позе (мин)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минимальные перерывы между периодами нахождения в вынужденной позе (мин)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максимальная суммарная длительность нахождения в вынужденной позе за смену (</w:t>
            </w:r>
            <w:proofErr w:type="gramStart"/>
            <w:r w:rsidRPr="00207940">
              <w:rPr>
                <w:color w:val="242424"/>
              </w:rPr>
              <w:t>ч</w:t>
            </w:r>
            <w:proofErr w:type="gramEnd"/>
            <w:r w:rsidRPr="00207940">
              <w:rPr>
                <w:color w:val="242424"/>
              </w:rPr>
              <w:t>.)</w:t>
            </w:r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proofErr w:type="gramStart"/>
            <w:r w:rsidRPr="00207940">
              <w:rPr>
                <w:color w:val="242424"/>
              </w:rPr>
              <w:t xml:space="preserve">- вынужденные наклоны корпуса (по визуальной оценки более </w:t>
            </w:r>
            <w:r w:rsidRPr="00207940">
              <w:rPr>
                <w:color w:val="242424"/>
              </w:rPr>
              <w:lastRenderedPageBreak/>
              <w:t>30</w:t>
            </w:r>
            <w:r w:rsidRPr="00207940">
              <w:rPr>
                <w:color w:val="242424"/>
                <w:vertAlign w:val="superscript"/>
              </w:rPr>
              <w:t>о</w:t>
            </w:r>
            <w:r w:rsidRPr="00207940">
              <w:rPr>
                <w:rStyle w:val="apple-converted-space"/>
                <w:color w:val="242424"/>
              </w:rPr>
              <w:t> </w:t>
            </w:r>
            <w:r w:rsidRPr="00207940">
              <w:rPr>
                <w:color w:val="242424"/>
              </w:rPr>
              <w:t>от вертикали (количество за смену)</w:t>
            </w:r>
            <w:proofErr w:type="gramEnd"/>
          </w:p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- перемещение в пространстве (переходы, обусловленные технологическим процессом в течение смены) (</w:t>
            </w:r>
            <w:proofErr w:type="gramStart"/>
            <w:r w:rsidRPr="00207940">
              <w:rPr>
                <w:color w:val="242424"/>
              </w:rPr>
              <w:t>км</w:t>
            </w:r>
            <w:proofErr w:type="gramEnd"/>
            <w:r w:rsidRPr="00207940">
              <w:rPr>
                <w:color w:val="242424"/>
              </w:rPr>
              <w:t>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lastRenderedPageBreak/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1,5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60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1,5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60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7</w:t>
            </w:r>
          </w:p>
        </w:tc>
      </w:tr>
    </w:tbl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lastRenderedPageBreak/>
        <w:t>5. Продолжительность рабочего времени и времени отдыха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5.1. Продолжительность рабочего времени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В соответствии со статьей 92 ТК РФ подростки относятся к категории работников, которым гарантировано сокращенное рабочее время.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Продолжительность рабочего времени подростков составляет: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для работников в возрасте до 16 лет - не более 24 часов в неделю;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для работников в возрасте от 16 до 18 лет - не более 35 часов в неделю.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Для учащихся образовательных учреждений, работающих в течение учебного года в свободное от учебы время, продолжительность рабочего времени составляет: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возрасте до 16 лет - не более 12 часов в неделю;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возрасте от 16 до 18 лет - не более 17,5 часа в неделю.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Согласно статьи</w:t>
      </w:r>
      <w:proofErr w:type="gramEnd"/>
      <w:r w:rsidRPr="00207940">
        <w:rPr>
          <w:color w:val="242424"/>
        </w:rPr>
        <w:t xml:space="preserve"> 94 ТК РФ максимальная продолжительность ежедневной работы (смены) для подростков составляет: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для работников в возрасте от 15 до 16 лет - не более 5 часов;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для работников в возрасте от 16 до 18 лет - не более 7 часов.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продолжительность ежедневной работы (смены) составляет: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возрасте от 14 до 16 лет - не более 2,5 часа;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возрасте от 16 до 18 лет - не более 4 часов.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Творческим работникам средств массовой информации, организаций кинематографии, тел</w:t>
      </w:r>
      <w:proofErr w:type="gramStart"/>
      <w:r w:rsidRPr="00207940">
        <w:rPr>
          <w:color w:val="242424"/>
        </w:rPr>
        <w:t>е-</w:t>
      </w:r>
      <w:proofErr w:type="gramEnd"/>
      <w:r w:rsidRPr="00207940">
        <w:rPr>
          <w:color w:val="242424"/>
        </w:rPr>
        <w:t xml:space="preserve"> и </w:t>
      </w:r>
      <w:proofErr w:type="spellStart"/>
      <w:r w:rsidRPr="00207940">
        <w:rPr>
          <w:color w:val="242424"/>
        </w:rPr>
        <w:t>видеосъемочных</w:t>
      </w:r>
      <w:proofErr w:type="spellEnd"/>
      <w:r w:rsidRPr="00207940">
        <w:rPr>
          <w:color w:val="242424"/>
        </w:rPr>
        <w:t xml:space="preserve"> коллективов,</w:t>
      </w:r>
      <w:r w:rsidRPr="00207940">
        <w:rPr>
          <w:rStyle w:val="apple-converted-space"/>
          <w:color w:val="242424"/>
        </w:rPr>
        <w:t> </w:t>
      </w:r>
      <w:hyperlink r:id="rId9" w:tgtFrame="_blank" w:history="1">
        <w:r w:rsidRPr="00207940">
          <w:rPr>
            <w:rStyle w:val="a5"/>
            <w:b/>
            <w:bCs/>
            <w:color w:val="1D85B3"/>
          </w:rPr>
          <w:t>театров</w:t>
        </w:r>
      </w:hyperlink>
      <w:r w:rsidRPr="00207940">
        <w:rPr>
          <w:color w:val="242424"/>
        </w:rPr>
        <w:t>, театральных и концертных организаций, цирков и иных лиц в соответствии с перечнями категорий таких работников продолжительность ежедневной работы (смены) может устанавливаться коллективным договором, локальным нормативным актом, трудовым договором.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5.2. Продолжительность времени отдыха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lastRenderedPageBreak/>
        <w:t>Согласно статьи</w:t>
      </w:r>
      <w:proofErr w:type="gramEnd"/>
      <w:r w:rsidRPr="00207940">
        <w:rPr>
          <w:color w:val="242424"/>
        </w:rPr>
        <w:t xml:space="preserve"> 267 ТК РФ работникам подросткам предоставляется ежегодный основной оплачиваемый отпуск продолжительностью 31 календарный день в удобное для них время.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Для работников подростков предусмотрены дополнительные гарантии реализации права на отпуск.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Согласно ТК РФ работодателю запрещается: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работникам подросткам </w:t>
      </w:r>
      <w:proofErr w:type="spellStart"/>
      <w:r w:rsidRPr="00207940">
        <w:rPr>
          <w:color w:val="242424"/>
        </w:rPr>
        <w:t>непредоставление</w:t>
      </w:r>
      <w:proofErr w:type="spellEnd"/>
      <w:r w:rsidRPr="00207940">
        <w:rPr>
          <w:color w:val="242424"/>
        </w:rPr>
        <w:t xml:space="preserve"> ежегодного оплачиваемого отпуска (статья 124 ТК РФ);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отзыв из отпуска работников подростков (статья 125 ТК РФ);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замену работникам подросткам отпуска денежной компенсацией (статья 126 ТК РФ).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привлечении подростков к сменной работе, продолжительность непрерывного времени, свободного от работы, не должна быть менее 12 часов.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6. Прохождение медицинского осмотра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Подростки при приеме на работу подлежат предварительному обязательному медицинскому осмотру и ежегодному обязательному медицинскому осмотру до достижения возраста 18 лет.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Целью медицинского осмотра является определение возможностей подростка выполнять работу без нарушения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предъявляемым к профессиям по определенным видам деятельности.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Медицинские требования к состоянию здоровья и объем необходимых исследований определяются в порядке, установленном Министерством здравоохранения и социального развития Российской Федерации.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Предварительные осмотры проводятся при поступлении на работу на основании направления на медицинский осмотр (далее - направление), выданного работодателем подростку, поступающему на работу.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В направлении указывается: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наименование работодателя;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форма собственности и вид экономической деятельности работодателя по</w:t>
      </w:r>
      <w:r w:rsidRPr="00207940">
        <w:rPr>
          <w:rStyle w:val="apple-converted-space"/>
          <w:color w:val="242424"/>
        </w:rPr>
        <w:t> </w:t>
      </w:r>
      <w:hyperlink r:id="rId10" w:history="1">
        <w:r w:rsidRPr="00207940">
          <w:rPr>
            <w:rStyle w:val="a5"/>
            <w:color w:val="1D85B3"/>
          </w:rPr>
          <w:t>ОКВЭД</w:t>
        </w:r>
      </w:hyperlink>
      <w:r w:rsidRPr="00207940">
        <w:rPr>
          <w:color w:val="242424"/>
        </w:rPr>
        <w:t>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>наименование медицинской организации, фактический адрес ее местонахождения и код по ОГРН;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вид медицинского осмотра (предварительный или периодический);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фамилия, имя, отчество лица, поступающего на работу (подростка);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дата рождения лица, поступающего на работу (подростка);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наименование структурного подразделения работодателя (при наличии), в котором будет занято лицо, поступающее на работу (занят подросток);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наименование должности (профессии) или вида работы;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Периодические медицинские осмотры (обследования) проводятся с целью: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динамического наблюдения за состоянием здоровья подростков, своевременного выявления начальных форм профессиональных заболеваний, ранних признаков воздействия вредных и (или) опасных производственных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периодических осмотрах (или раньше при наличии жалоб на ухудшение состояния здоровья) выносится медицинское заключение о возможности (или невозможности) продолжения работы подростком или даются рекомендации по рациональному трудоустройству.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Подросткам, имеющим нарушения состояния здоровья, лечебн</w:t>
      </w:r>
      <w:proofErr w:type="gramStart"/>
      <w:r w:rsidRPr="00207940">
        <w:rPr>
          <w:color w:val="242424"/>
        </w:rPr>
        <w:t>о-</w:t>
      </w:r>
      <w:proofErr w:type="gramEnd"/>
      <w:r w:rsidRPr="00207940">
        <w:rPr>
          <w:color w:val="242424"/>
        </w:rPr>
        <w:t xml:space="preserve"> профилактическим учреждением предоставляется медицинская профессиональная консультация по подбору профессии, соответствующей его состоянию здоровья и индивидуальным особенностям.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Подростки с ограниченными возможностями здоровья подлежат освидетельствованию в медико-социальных экспертных комиссиях и могут быть трудоустроены по их рекомендациям на рабочих местах, отвечающих гигиеническим требованиям к условиям труда инвалидов, с учетом степени риска причинения вреда, и соблюдения требований настоящих санитарных правил.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Подростки, не прошедшие медицинский осмотр и не имеющие медицинского заключения, к работе не допускаются.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 xml:space="preserve">В целях обеспечения здоровья подростков в статье 13 Федерального закона от 30.03.1995 г. № 38-ФЗ «О предупреждении распространения в Российской Федерации заболевания, вызываемого вирусом иммунодефицита человека (ВИЧ-инфекции)» установлено, что в случае выявления ВИЧ-инфекции у несовершеннолетних в возрасте до 18 лет при проведении обязательных предварительных при поступлении на работу и периодических медицинских осмотров работники учреждений, проводивших медицинское </w:t>
      </w:r>
      <w:r w:rsidRPr="00207940">
        <w:rPr>
          <w:color w:val="242424"/>
        </w:rPr>
        <w:lastRenderedPageBreak/>
        <w:t>освидетельствование, должны уведомить об этом</w:t>
      </w:r>
      <w:proofErr w:type="gramEnd"/>
      <w:r w:rsidRPr="00207940">
        <w:rPr>
          <w:color w:val="242424"/>
        </w:rPr>
        <w:t xml:space="preserve"> родителей или их законных представителей.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6. Гигиенические требования к условиям труда и организации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рабочего места подростков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color w:val="242424"/>
        </w:rPr>
      </w:pPr>
      <w:r w:rsidRPr="00207940">
        <w:rPr>
          <w:color w:val="242424"/>
        </w:rPr>
        <w:t> 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Условия труда на рабочем месте в организациях по конкретной профессии, в которых используется труд подростков, должны отвечать требованиям санитарного законодательства, предъявляемым к факторам производственной среды и трудового процесса, в которых осуществляется деятельность человека.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Рабочие места для подростков подбираются с таким расчетом, чтобы при наличии вредных или опасных факторов производственной среды (химических, физических, биологических) и факторов трудового процесса, уровень их не превышал гигиенических нормативов, установленных санитарным законодательством.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proofErr w:type="gramStart"/>
      <w:r w:rsidRPr="00207940">
        <w:rPr>
          <w:color w:val="242424"/>
        </w:rPr>
        <w:t>Противопоказанными для трудоустройства подростков являются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подростка и условия труда, воздействие которых создает угрозу для жизни, высокий риск возникновения острых профессиональных поражений.</w:t>
      </w:r>
      <w:proofErr w:type="gramEnd"/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Условия труда противопоказанные для трудоустройства подростков приведены в таблице 5.</w:t>
      </w:r>
    </w:p>
    <w:p w:rsidR="00207940" w:rsidRPr="00207940" w:rsidRDefault="00207940" w:rsidP="00207940">
      <w:pPr>
        <w:pStyle w:val="a3"/>
        <w:spacing w:after="150" w:afterAutospacing="0"/>
        <w:jc w:val="right"/>
        <w:rPr>
          <w:color w:val="242424"/>
        </w:rPr>
      </w:pPr>
      <w:r w:rsidRPr="00207940">
        <w:rPr>
          <w:color w:val="242424"/>
        </w:rPr>
        <w:t>Таблица 5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Условия труда противопоказанные для трудоустройства подростков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"/>
        <w:gridCol w:w="2333"/>
        <w:gridCol w:w="6657"/>
      </w:tblGrid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 xml:space="preserve">№ </w:t>
            </w:r>
            <w:proofErr w:type="spellStart"/>
            <w:proofErr w:type="gramStart"/>
            <w:r w:rsidRPr="00207940">
              <w:rPr>
                <w:color w:val="242424"/>
              </w:rPr>
              <w:t>п</w:t>
            </w:r>
            <w:proofErr w:type="spellEnd"/>
            <w:proofErr w:type="gramEnd"/>
            <w:r w:rsidRPr="00207940">
              <w:rPr>
                <w:color w:val="242424"/>
              </w:rPr>
              <w:t>/</w:t>
            </w:r>
            <w:proofErr w:type="spellStart"/>
            <w:r w:rsidRPr="00207940">
              <w:rPr>
                <w:color w:val="2424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Группы производственных факторов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Наименование производственного фактора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</w:tr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Физические факторы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присутствие </w:t>
            </w:r>
            <w:proofErr w:type="spellStart"/>
            <w:r w:rsidRPr="00207940">
              <w:rPr>
                <w:color w:val="242424"/>
              </w:rPr>
              <w:t>слабофиброгенных</w:t>
            </w:r>
            <w:proofErr w:type="spellEnd"/>
            <w:r w:rsidRPr="00207940">
              <w:rPr>
                <w:color w:val="242424"/>
              </w:rPr>
              <w:t xml:space="preserve"> аэрозолей в концентрациях, превышающих ПДК для воздуха рабочей зоны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высок</w:t>
            </w:r>
            <w:proofErr w:type="gramStart"/>
            <w:r w:rsidRPr="00207940">
              <w:rPr>
                <w:color w:val="242424"/>
              </w:rPr>
              <w:t>о-</w:t>
            </w:r>
            <w:proofErr w:type="gramEnd"/>
            <w:r w:rsidRPr="00207940">
              <w:rPr>
                <w:color w:val="242424"/>
              </w:rPr>
              <w:t xml:space="preserve"> и </w:t>
            </w:r>
            <w:proofErr w:type="spellStart"/>
            <w:r w:rsidRPr="00207940">
              <w:rPr>
                <w:color w:val="242424"/>
              </w:rPr>
              <w:t>умереннофиброгенных</w:t>
            </w:r>
            <w:proofErr w:type="spellEnd"/>
            <w:r w:rsidRPr="00207940">
              <w:rPr>
                <w:color w:val="242424"/>
              </w:rPr>
              <w:t xml:space="preserve"> аэрозолей преимущественно </w:t>
            </w:r>
            <w:proofErr w:type="spellStart"/>
            <w:r w:rsidRPr="00207940">
              <w:rPr>
                <w:color w:val="242424"/>
              </w:rPr>
              <w:t>фиброгенного</w:t>
            </w:r>
            <w:proofErr w:type="spellEnd"/>
            <w:r w:rsidRPr="00207940">
              <w:rPr>
                <w:color w:val="242424"/>
              </w:rPr>
              <w:t xml:space="preserve"> действия в концентрациях, превышающих ПДК для атмосферного воздуха населенных мест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шум на рабочих местах, превышающий установленный для подростков предельно допустимый уровень (ПДУ) </w:t>
            </w:r>
            <w:r w:rsidRPr="00207940">
              <w:rPr>
                <w:color w:val="242424"/>
              </w:rPr>
              <w:lastRenderedPageBreak/>
              <w:t xml:space="preserve">эквивалентный уровень звука 70 </w:t>
            </w:r>
            <w:proofErr w:type="spellStart"/>
            <w:r w:rsidRPr="00207940">
              <w:rPr>
                <w:color w:val="242424"/>
              </w:rPr>
              <w:t>дБА</w:t>
            </w:r>
            <w:proofErr w:type="spellEnd"/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общая вибрация 1 и 2 категории транспортных и транспортно-технологических машин и механизмов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общая вибрация 3 категории (эквивалентный корректированный уровень </w:t>
            </w:r>
            <w:proofErr w:type="spellStart"/>
            <w:r w:rsidRPr="00207940">
              <w:rPr>
                <w:color w:val="242424"/>
              </w:rPr>
              <w:t>виброскорости</w:t>
            </w:r>
            <w:proofErr w:type="spellEnd"/>
            <w:r w:rsidRPr="00207940">
              <w:rPr>
                <w:color w:val="242424"/>
              </w:rPr>
              <w:t xml:space="preserve">, </w:t>
            </w:r>
            <w:proofErr w:type="spellStart"/>
            <w:r w:rsidRPr="00207940">
              <w:rPr>
                <w:color w:val="242424"/>
              </w:rPr>
              <w:t>виброускорение</w:t>
            </w:r>
            <w:proofErr w:type="spellEnd"/>
            <w:r w:rsidRPr="00207940">
              <w:rPr>
                <w:color w:val="242424"/>
              </w:rPr>
              <w:t>, дБ/раз), превышающая ПДУ на рабочем месте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вибрация локальная (эквивалентный корректированный уровень </w:t>
            </w:r>
            <w:proofErr w:type="spellStart"/>
            <w:r w:rsidRPr="00207940">
              <w:rPr>
                <w:color w:val="242424"/>
              </w:rPr>
              <w:t>виброскорости</w:t>
            </w:r>
            <w:proofErr w:type="spellEnd"/>
            <w:r w:rsidRPr="00207940">
              <w:rPr>
                <w:color w:val="242424"/>
              </w:rPr>
              <w:t xml:space="preserve">, </w:t>
            </w:r>
            <w:proofErr w:type="spellStart"/>
            <w:r w:rsidRPr="00207940">
              <w:rPr>
                <w:color w:val="242424"/>
              </w:rPr>
              <w:t>виброускорение</w:t>
            </w:r>
            <w:proofErr w:type="spellEnd"/>
            <w:r w:rsidRPr="00207940">
              <w:rPr>
                <w:color w:val="242424"/>
              </w:rPr>
              <w:t>, дБ/раз), превышающая ПДУ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инфразвук (общий уровень звукового давления, дБ </w:t>
            </w:r>
            <w:proofErr w:type="spellStart"/>
            <w:r w:rsidRPr="00207940">
              <w:rPr>
                <w:color w:val="242424"/>
              </w:rPr>
              <w:t>Лин</w:t>
            </w:r>
            <w:proofErr w:type="spellEnd"/>
            <w:r w:rsidRPr="00207940">
              <w:rPr>
                <w:color w:val="242424"/>
              </w:rPr>
              <w:t>) на рабочем месте, превышающий ПДУ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ультразвук воздушный (уровни звукового давления в 1/3 октавных полосах частот, дБ) на рабочем месте, превышающий ПДУ; наличие контактного ультразвука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электромагнитные излучения на рабочих местах (постоянное магнитное поле, электростатическое поле, электрические поля промышленной частоты - 50 Гц, магнитные поля промышленной частоты - 50 Гц, электромагнитные излучения радиочастотного диапазона), превышающие ПДУ для населения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условия работ с лазерами 2-го, 3-го, 4-го класса опасности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ультрафиолетовое излучение при наличии производственных источников (Вт/м</w:t>
            </w:r>
            <w:proofErr w:type="gramStart"/>
            <w:r w:rsidRPr="00207940">
              <w:rPr>
                <w:color w:val="242424"/>
              </w:rPr>
              <w:t>2</w:t>
            </w:r>
            <w:proofErr w:type="gramEnd"/>
            <w:r w:rsidRPr="00207940">
              <w:rPr>
                <w:color w:val="242424"/>
              </w:rPr>
              <w:t>), превышающее установленные нормативы для рабочих мест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в условиях работ, связанных с наличием радиоактивных веществ и источников ионизирующих излучений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параметры микроклимата (температура, влажность, скорость движения воздуха), превышающие допустимые на рабочих местах для различных категорий работ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параметры световой среды (освещенность рабочей поверхности; показатель </w:t>
            </w:r>
            <w:proofErr w:type="spellStart"/>
            <w:r w:rsidRPr="00207940">
              <w:rPr>
                <w:color w:val="242424"/>
              </w:rPr>
              <w:t>ослепленности</w:t>
            </w:r>
            <w:proofErr w:type="spellEnd"/>
            <w:r w:rsidRPr="00207940">
              <w:rPr>
                <w:color w:val="242424"/>
              </w:rPr>
              <w:t xml:space="preserve">; коэффициент пульсации; уровни ультрафиолетовой радиации), не соответствующие нормативам, принятым для работ </w:t>
            </w:r>
            <w:r w:rsidRPr="00207940">
              <w:rPr>
                <w:color w:val="242424"/>
              </w:rPr>
              <w:lastRenderedPageBreak/>
              <w:t>выполняемого класса точности, установленных для рабочих мест в различных видах экономической деятельности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отсутствие естественного освещения на рабочих местах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 повышенном атмосферном давлении (в кессонах, барокамерах, водолазные работы и т.п.)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</w:tr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Химические факторы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химических веществ 3 - 4 класса опасности в концентрациях, превышающих предельно допустимые концентрации (далее - ПДК) для воздуха рабочей зоны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химических веществ 1 - 2 класса опасности в концентрациях, превышающих ПДК для атмосферного воздуха населенных мест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химических веществ, опасных для развития острого отравления (с остронаправленным механизмом действия и раздражающего действия), веществ, канцерогенных для человека, веществ, опасных для репродуктивного здоровья человека, аллергенов в концентрациях, превышающих ПДК для атмосферного воздуха населенных мест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противоопухолевых лекарственных средств, гормонов эстрогенов, наркотических анальгетиков (с целью исключения контакта с органами дыхания и кожей при их получении и использовании в работе);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ядовитых растений и лекарственного сырья, относящихся к списку "Б" Государственной фармакопеи, и контакт с ними;</w:t>
            </w:r>
          </w:p>
        </w:tc>
      </w:tr>
      <w:tr w:rsidR="00207940" w:rsidRPr="00207940" w:rsidTr="0020794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Биологические факторы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в воздухе микроорганизмов-продуцентов и препаратов, содержащих живые клетки и споры микроорганизмов в концентрациях, превышающих ПДК для воздуха рабочей зоны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 xml:space="preserve">присутствие в воздухе микроорганизмов-продуцентов и препаратов, содержащих живые клетки и споры микроорганизмов, способных вызывать аллергические заболевания в производственных условиях в концентрациях, превышающих ПДК для атмосферного воздуха населенных </w:t>
            </w:r>
            <w:r w:rsidRPr="00207940">
              <w:rPr>
                <w:color w:val="242424"/>
              </w:rPr>
              <w:lastRenderedPageBreak/>
              <w:t>мест</w:t>
            </w:r>
          </w:p>
        </w:tc>
      </w:tr>
      <w:tr w:rsidR="00207940" w:rsidRPr="00207940" w:rsidTr="0020794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rPr>
                <w:color w:val="242424"/>
              </w:rPr>
            </w:pPr>
            <w:r w:rsidRPr="00207940">
              <w:rPr>
                <w:color w:val="242424"/>
              </w:rPr>
              <w:t>присутствие патогенных микроорганизмов и возбудителей паразитарных болезней, продуктов их жизнедеятельности</w:t>
            </w:r>
          </w:p>
        </w:tc>
      </w:tr>
    </w:tbl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При наличии на производстве вредных физических факторов, превышающих гигиенические нормативы, и которые не могут быть приведены в соответствие с требованиями, указанными в таблице 5, необходимо предусмотреть сокращение времени контакта работников в возрасте от 16 до 18 лет с этими вредными факторами (защита временем) в следующих случаях: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- при превышении уровня шума более 70 </w:t>
      </w:r>
      <w:proofErr w:type="spellStart"/>
      <w:r w:rsidRPr="00207940">
        <w:rPr>
          <w:color w:val="242424"/>
        </w:rPr>
        <w:t>дБА</w:t>
      </w:r>
      <w:proofErr w:type="spellEnd"/>
      <w:r w:rsidRPr="00207940">
        <w:rPr>
          <w:color w:val="242424"/>
        </w:rPr>
        <w:t xml:space="preserve">, но не превышающего 80 </w:t>
      </w:r>
      <w:proofErr w:type="spellStart"/>
      <w:r w:rsidRPr="00207940">
        <w:rPr>
          <w:color w:val="242424"/>
        </w:rPr>
        <w:t>дБА</w:t>
      </w:r>
      <w:proofErr w:type="spellEnd"/>
      <w:r w:rsidRPr="00207940">
        <w:rPr>
          <w:color w:val="242424"/>
        </w:rPr>
        <w:t>, сократить время работы в условиях шума, в соответствии с требованиями, указанными в таблице 6.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условиях воздействия общей вибрации 3 категории, соответствующей ПДУ, время работы подростка не должно превышать 3,5 часов в день. Подростки моложе 16 лет к таким работам не допускаются;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в условиях воздействия локальной вибрации, соответствующей нормативным требованиям, время работы не должно превышать 3,5 часов в день. Подростки моложе 16 лет к таким работам не допускаются.</w:t>
      </w:r>
    </w:p>
    <w:p w:rsidR="00207940" w:rsidRPr="00207940" w:rsidRDefault="00207940" w:rsidP="00207940">
      <w:pPr>
        <w:pStyle w:val="a3"/>
        <w:spacing w:after="150" w:afterAutospacing="0"/>
        <w:jc w:val="right"/>
        <w:rPr>
          <w:color w:val="242424"/>
        </w:rPr>
      </w:pPr>
      <w:r w:rsidRPr="00207940">
        <w:rPr>
          <w:color w:val="242424"/>
        </w:rPr>
        <w:t>Таблица 6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Длительность работы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подростков в условиях производственного шума,</w:t>
      </w:r>
    </w:p>
    <w:p w:rsidR="00207940" w:rsidRPr="00207940" w:rsidRDefault="00207940" w:rsidP="00207940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proofErr w:type="gramStart"/>
      <w:r w:rsidRPr="00207940">
        <w:rPr>
          <w:b/>
          <w:color w:val="242424"/>
        </w:rPr>
        <w:t>превышающего</w:t>
      </w:r>
      <w:proofErr w:type="gramEnd"/>
      <w:r w:rsidRPr="00207940">
        <w:rPr>
          <w:b/>
          <w:color w:val="242424"/>
        </w:rPr>
        <w:t xml:space="preserve"> нормируемый уровень 70 ДБА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9"/>
        <w:gridCol w:w="1262"/>
        <w:gridCol w:w="1262"/>
      </w:tblGrid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Уровни звука L</w:t>
            </w:r>
            <w:proofErr w:type="gramStart"/>
            <w:r w:rsidRPr="00207940">
              <w:rPr>
                <w:rStyle w:val="apple-converted-space"/>
                <w:color w:val="242424"/>
              </w:rPr>
              <w:t> </w:t>
            </w:r>
            <w:r w:rsidRPr="00207940">
              <w:rPr>
                <w:color w:val="242424"/>
                <w:vertAlign w:val="subscript"/>
              </w:rPr>
              <w:t>А</w:t>
            </w:r>
            <w:proofErr w:type="gramEnd"/>
            <w:r w:rsidRPr="00207940">
              <w:rPr>
                <w:rStyle w:val="apple-converted-space"/>
                <w:color w:val="242424"/>
              </w:rPr>
              <w:t> </w:t>
            </w:r>
            <w:r w:rsidRPr="00207940">
              <w:rPr>
                <w:color w:val="242424"/>
              </w:rPr>
              <w:t>и эквивалентные</w:t>
            </w:r>
          </w:p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Уровни звука L</w:t>
            </w:r>
            <w:proofErr w:type="gramStart"/>
            <w:r w:rsidRPr="00207940">
              <w:rPr>
                <w:rStyle w:val="apple-converted-space"/>
                <w:color w:val="242424"/>
              </w:rPr>
              <w:t> </w:t>
            </w:r>
            <w:r w:rsidRPr="00207940">
              <w:rPr>
                <w:color w:val="242424"/>
                <w:vertAlign w:val="subscript"/>
              </w:rPr>
              <w:t>А</w:t>
            </w:r>
            <w:proofErr w:type="gramEnd"/>
            <w:r w:rsidRPr="00207940">
              <w:rPr>
                <w:rStyle w:val="apple-converted-space"/>
                <w:color w:val="242424"/>
                <w:vertAlign w:val="subscript"/>
              </w:rPr>
              <w:t> </w:t>
            </w:r>
            <w:proofErr w:type="spellStart"/>
            <w:r w:rsidRPr="00207940">
              <w:rPr>
                <w:color w:val="242424"/>
              </w:rPr>
              <w:t>экв</w:t>
            </w:r>
            <w:proofErr w:type="spellEnd"/>
            <w:r w:rsidRPr="00207940">
              <w:rPr>
                <w:color w:val="242424"/>
              </w:rPr>
              <w:t xml:space="preserve">., </w:t>
            </w:r>
            <w:proofErr w:type="spellStart"/>
            <w:r w:rsidRPr="00207940">
              <w:rPr>
                <w:color w:val="242424"/>
              </w:rPr>
              <w:t>дБА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Возраст, года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14 – 15 лет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16 – 18 лет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 xml:space="preserve">75 </w:t>
            </w:r>
            <w:proofErr w:type="spellStart"/>
            <w:r w:rsidRPr="00207940">
              <w:rPr>
                <w:color w:val="242424"/>
              </w:rPr>
              <w:t>дБА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3,5 часа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5 часов</w:t>
            </w:r>
          </w:p>
        </w:tc>
      </w:tr>
      <w:tr w:rsidR="00207940" w:rsidRPr="00207940" w:rsidTr="00207940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 xml:space="preserve">80 </w:t>
            </w:r>
            <w:proofErr w:type="spellStart"/>
            <w:r w:rsidRPr="00207940">
              <w:rPr>
                <w:color w:val="242424"/>
              </w:rPr>
              <w:t>дБА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3 часа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07940" w:rsidRPr="00207940" w:rsidRDefault="00207940">
            <w:pPr>
              <w:pStyle w:val="a3"/>
              <w:spacing w:after="150" w:afterAutospacing="0"/>
              <w:jc w:val="center"/>
              <w:rPr>
                <w:color w:val="242424"/>
              </w:rPr>
            </w:pPr>
            <w:r w:rsidRPr="00207940">
              <w:rPr>
                <w:color w:val="242424"/>
              </w:rPr>
              <w:t>4 часа</w:t>
            </w:r>
          </w:p>
        </w:tc>
      </w:tr>
    </w:tbl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 xml:space="preserve">Допустимая тяжесть трудового процесса для подростков разного возраста и пола (по физической динамической и статической нагрузке, массе перемещаемого груза, стереотипным рабочим движениям, рабочей позе, перемещениям) не должна превышать величин, установленных </w:t>
      </w:r>
      <w:proofErr w:type="spellStart"/>
      <w:r w:rsidRPr="00207940">
        <w:rPr>
          <w:color w:val="242424"/>
        </w:rPr>
        <w:t>СаНиП</w:t>
      </w:r>
      <w:proofErr w:type="spellEnd"/>
      <w:r w:rsidRPr="00207940">
        <w:rPr>
          <w:color w:val="242424"/>
        </w:rPr>
        <w:t xml:space="preserve"> 2.4.6.2553-09 «Санитарно-эпидемиологические требования к безопасности условий труда работников, не достигших 18-летнего возраста».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Напряженность труда для подростков должна исключать повышенные нервно-психические нагрузки (интеллектуальные, сенсорные, эмоциональные и монотонные нагрузки).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>Для подростков должны быть исключены: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1) условия труда и виды деятельности с высокой степенью интеллектуальных нагрузок, при которых осуществляется решение сложных задач с выбором по известным алгоритмам (работа по серии инструкций); восприятие сигналов с последующей коррекцией действий, требование принятия срочных решений;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2) условия (труда) работы и виды деятельности с высокой степенью сенсорных нагрузок, при которых: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длительность сосредоточенного контроля превышает 50% рабочего времени;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плотность сигналов (световых, звуковых) и сообщений в среднем за 1 час работы превышает 175 сигналов;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число производственных объектов одновременного контроля составляет более 10;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имеет место повышенная нагрузка на слуховой анализатор (восприятие речи и дифференцированных сигналов, разборчивость которых менее 70%; имеются помехи, на фоне которых речь слышна на расстоянии до 2 метров);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нагрузка на голосовой аппарат (суммарное количество часов, наговариваемое в неделю) превышает половину рабочих часов в неделю;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3) условия труда и виды деятельности с высокими нагрузками на зрительный анализатор, при которых: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зрительно-напряженная работа при величине объектов различения от 1 мм до 0,3 мм превышает более 50% рабочего времени, при величине объектов менее 0,3 мм - превышает более 25% времени;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зрительно-напряженная работа с оптическими приборами (микроскопы, лупы и т.п.) превышает более 50% рабочего времени;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зрительно-напряженная работа при наблюдении за экранами видеотерминалов более 2-х часов в день при буквенно-цифровом типе отображения информации и более 3-х часов в день при графическом типе отображаемой информации;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4) условия работы, связанные со значительными эмоциональными нагрузками, при которых: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повышена ответственность за функциональное качество основной работы (задания);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имеется риск для собственной жизни и безопасности других людей;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5) условия работы, связанные с высокой степенью монотонности, при которых: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число элементов (приемов), необходимых для реализации простого задания или в многократно повторяющихся операциях, менее 6;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- продолжительность операций менее 25 секунд;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lastRenderedPageBreak/>
        <w:t xml:space="preserve">- время активных действий менее 10% продолжительности смены, а в остальное время работы осуществляется </w:t>
      </w:r>
      <w:proofErr w:type="gramStart"/>
      <w:r w:rsidRPr="00207940">
        <w:rPr>
          <w:color w:val="242424"/>
        </w:rPr>
        <w:t>контроль за</w:t>
      </w:r>
      <w:proofErr w:type="gramEnd"/>
      <w:r w:rsidRPr="00207940">
        <w:rPr>
          <w:color w:val="242424"/>
        </w:rPr>
        <w:t xml:space="preserve"> ходом производственного процесса.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207940" w:rsidRPr="00207940" w:rsidRDefault="00207940" w:rsidP="00207940">
      <w:pPr>
        <w:pStyle w:val="a3"/>
        <w:spacing w:after="150" w:afterAutospacing="0"/>
        <w:jc w:val="center"/>
        <w:rPr>
          <w:b/>
          <w:color w:val="242424"/>
        </w:rPr>
      </w:pPr>
      <w:r w:rsidRPr="00207940">
        <w:rPr>
          <w:b/>
          <w:color w:val="242424"/>
        </w:rPr>
        <w:t>7. Особенности заключения трудового договора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В заключаемом с подростком трудовом договоре должно быть прописано: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1. Условие сокращенного рабочего времени.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2. Предоставление ежегодного основного оплачиваемого отпуска продолжительностью 31 календарный день в удобное для подростка время.</w:t>
      </w:r>
    </w:p>
    <w:p w:rsidR="00207940" w:rsidRPr="00207940" w:rsidRDefault="00207940" w:rsidP="00207940">
      <w:pPr>
        <w:pStyle w:val="a3"/>
        <w:spacing w:after="150" w:afterAutospacing="0"/>
        <w:rPr>
          <w:color w:val="242424"/>
        </w:rPr>
      </w:pPr>
      <w:r w:rsidRPr="00207940">
        <w:rPr>
          <w:color w:val="242424"/>
        </w:rPr>
        <w:t>3. Запрещение направления в служебные командировки, привлечения к сверхурочной работе, работе в ночное время, в выходные и нерабочие праздничные дни.</w:t>
      </w:r>
    </w:p>
    <w:p w:rsidR="00EC45C2" w:rsidRPr="00207940" w:rsidRDefault="00EC45C2" w:rsidP="00207940">
      <w:pPr>
        <w:rPr>
          <w:rFonts w:ascii="Times New Roman" w:hAnsi="Times New Roman" w:cs="Times New Roman"/>
          <w:sz w:val="24"/>
          <w:szCs w:val="24"/>
        </w:rPr>
      </w:pPr>
    </w:p>
    <w:sectPr w:rsidR="00EC45C2" w:rsidRPr="00207940" w:rsidSect="0071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EF5"/>
    <w:multiLevelType w:val="multilevel"/>
    <w:tmpl w:val="1CDA6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3591F"/>
    <w:multiLevelType w:val="multilevel"/>
    <w:tmpl w:val="912E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E3CF0"/>
    <w:multiLevelType w:val="multilevel"/>
    <w:tmpl w:val="FC18F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54128"/>
    <w:multiLevelType w:val="multilevel"/>
    <w:tmpl w:val="A2C046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66CD1"/>
    <w:multiLevelType w:val="multilevel"/>
    <w:tmpl w:val="C26E8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53A48"/>
    <w:multiLevelType w:val="multilevel"/>
    <w:tmpl w:val="20E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15CC"/>
    <w:multiLevelType w:val="multilevel"/>
    <w:tmpl w:val="B10CC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B4DE3"/>
    <w:multiLevelType w:val="multilevel"/>
    <w:tmpl w:val="90A217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D49352E"/>
    <w:multiLevelType w:val="multilevel"/>
    <w:tmpl w:val="DD780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92"/>
    <w:rsid w:val="00207940"/>
    <w:rsid w:val="00714E99"/>
    <w:rsid w:val="007D3C92"/>
    <w:rsid w:val="00A05CCB"/>
    <w:rsid w:val="00CA29D1"/>
    <w:rsid w:val="00E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9"/>
  </w:style>
  <w:style w:type="paragraph" w:styleId="1">
    <w:name w:val="heading 1"/>
    <w:basedOn w:val="a"/>
    <w:link w:val="10"/>
    <w:uiPriority w:val="9"/>
    <w:qFormat/>
    <w:rsid w:val="00EC4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4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C92"/>
  </w:style>
  <w:style w:type="character" w:customStyle="1" w:styleId="10">
    <w:name w:val="Заголовок 1 Знак"/>
    <w:basedOn w:val="a0"/>
    <w:link w:val="1"/>
    <w:uiPriority w:val="9"/>
    <w:rsid w:val="00EC4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C45C2"/>
    <w:rPr>
      <w:b/>
      <w:bCs/>
    </w:rPr>
  </w:style>
  <w:style w:type="character" w:styleId="a5">
    <w:name w:val="Hyperlink"/>
    <w:basedOn w:val="a0"/>
    <w:uiPriority w:val="99"/>
    <w:semiHidden/>
    <w:unhideWhenUsed/>
    <w:rsid w:val="00EC4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246">
              <w:blockQuote w:val="1"/>
              <w:marLeft w:val="0"/>
              <w:marRight w:val="0"/>
              <w:marTop w:val="0"/>
              <w:marBottom w:val="300"/>
              <w:divBdr>
                <w:top w:val="single" w:sz="6" w:space="30" w:color="EAEAEA"/>
                <w:left w:val="single" w:sz="6" w:space="30" w:color="EAEAEA"/>
                <w:bottom w:val="single" w:sz="6" w:space="15" w:color="EAEAEA"/>
                <w:right w:val="single" w:sz="6" w:space="30" w:color="EAEAEA"/>
              </w:divBdr>
            </w:div>
            <w:div w:id="1360276377">
              <w:blockQuote w:val="1"/>
              <w:marLeft w:val="0"/>
              <w:marRight w:val="0"/>
              <w:marTop w:val="0"/>
              <w:marBottom w:val="300"/>
              <w:divBdr>
                <w:top w:val="single" w:sz="6" w:space="30" w:color="EAEAEA"/>
                <w:left w:val="single" w:sz="6" w:space="30" w:color="EAEAEA"/>
                <w:bottom w:val="single" w:sz="6" w:space="15" w:color="EAEAEA"/>
                <w:right w:val="single" w:sz="6" w:space="30" w:color="EAEAE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kan.udmurt.ru/wor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rkan.udmurt.ru/work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kan.udmurt.ru/work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arkan.udmurt.ru/work.php" TargetMode="External"/><Relationship Id="rId10" Type="http://schemas.openxmlformats.org/officeDocument/2006/relationships/hyperlink" Target="consultantplus://offline/ref=4645C8B5766662CEAB36CF9B8A7A55D5751BE26ACF528667DB2F4EAE350E236C2B272890422069AFZ2J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rkan.udmurt.ru/wor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2016-01-17T12:08:00Z</dcterms:created>
  <dcterms:modified xsi:type="dcterms:W3CDTF">2016-01-20T06:55:00Z</dcterms:modified>
</cp:coreProperties>
</file>