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4BF" w:rsidRPr="0078496B" w:rsidRDefault="00B524BF" w:rsidP="00C82A73">
      <w:pPr>
        <w:widowControl w:val="0"/>
        <w:tabs>
          <w:tab w:val="left" w:pos="900"/>
        </w:tabs>
        <w:autoSpaceDE w:val="0"/>
        <w:autoSpaceDN w:val="0"/>
        <w:adjustRightInd w:val="0"/>
        <w:jc w:val="center"/>
        <w:rPr>
          <w:b/>
          <w:bCs/>
          <w:sz w:val="24"/>
          <w:szCs w:val="24"/>
        </w:rPr>
      </w:pPr>
      <w:r w:rsidRPr="0078496B">
        <w:rPr>
          <w:b/>
          <w:bCs/>
          <w:sz w:val="24"/>
          <w:szCs w:val="24"/>
        </w:rPr>
        <w:t>АНАЛИЗ</w:t>
      </w:r>
    </w:p>
    <w:p w:rsidR="00B524BF" w:rsidRPr="0078496B" w:rsidRDefault="00B524BF" w:rsidP="00C82A73">
      <w:pPr>
        <w:widowControl w:val="0"/>
        <w:tabs>
          <w:tab w:val="left" w:pos="900"/>
        </w:tabs>
        <w:autoSpaceDE w:val="0"/>
        <w:autoSpaceDN w:val="0"/>
        <w:adjustRightInd w:val="0"/>
        <w:ind w:firstLine="900"/>
        <w:jc w:val="center"/>
        <w:rPr>
          <w:b/>
          <w:bCs/>
          <w:sz w:val="24"/>
          <w:szCs w:val="24"/>
        </w:rPr>
      </w:pPr>
      <w:r w:rsidRPr="0078496B">
        <w:rPr>
          <w:b/>
          <w:bCs/>
          <w:sz w:val="24"/>
          <w:szCs w:val="24"/>
        </w:rPr>
        <w:t>осуществления внутреннего финансового контроля и аудита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муниципального об</w:t>
      </w:r>
      <w:r>
        <w:rPr>
          <w:b/>
          <w:bCs/>
          <w:sz w:val="24"/>
          <w:szCs w:val="24"/>
        </w:rPr>
        <w:t>разования «Дебесский район» за 4</w:t>
      </w:r>
      <w:r w:rsidRPr="0078496B">
        <w:rPr>
          <w:b/>
          <w:bCs/>
          <w:sz w:val="24"/>
          <w:szCs w:val="24"/>
        </w:rPr>
        <w:t xml:space="preserve"> квартала 2015 года</w:t>
      </w:r>
    </w:p>
    <w:p w:rsidR="00B524BF" w:rsidRPr="0078496B" w:rsidRDefault="00B524BF" w:rsidP="00C82A73">
      <w:pPr>
        <w:widowControl w:val="0"/>
        <w:tabs>
          <w:tab w:val="left" w:pos="900"/>
        </w:tabs>
        <w:autoSpaceDE w:val="0"/>
        <w:autoSpaceDN w:val="0"/>
        <w:adjustRightInd w:val="0"/>
        <w:ind w:firstLine="900"/>
        <w:jc w:val="center"/>
        <w:rPr>
          <w:b/>
          <w:bCs/>
          <w:sz w:val="24"/>
          <w:szCs w:val="24"/>
        </w:rPr>
      </w:pPr>
    </w:p>
    <w:p w:rsidR="00B524BF" w:rsidRPr="0078496B" w:rsidRDefault="00B524BF" w:rsidP="00C82A73">
      <w:pPr>
        <w:widowControl w:val="0"/>
        <w:tabs>
          <w:tab w:val="left" w:pos="900"/>
        </w:tabs>
        <w:autoSpaceDE w:val="0"/>
        <w:autoSpaceDN w:val="0"/>
        <w:adjustRightInd w:val="0"/>
        <w:ind w:firstLine="900"/>
        <w:jc w:val="both"/>
        <w:rPr>
          <w:sz w:val="24"/>
          <w:szCs w:val="24"/>
        </w:rPr>
      </w:pPr>
      <w:r w:rsidRPr="0078496B">
        <w:rPr>
          <w:sz w:val="24"/>
          <w:szCs w:val="24"/>
        </w:rPr>
        <w:t>В соответствии с пунктом 5 статьи 160.2-1 Бюджетного кодекса Российской Федерации, на основании  п.п. 23, 38 Порядка осуществления главными распорядителями бюджетных средств муниципального образования «Дебесский район», главными администраторами доходов бюджета муниципального образования «Дебесский район», главными администраторами источников финансирования дефицита бюджета муниципального образования «Дебесский район» внутреннего финансового контроля и внутреннего финансового аудита (далее - субъект внутреннего финансового контроля и аудита), утвержденного постановлением Администрации от 31 декабря 2014 года № 253</w:t>
      </w:r>
      <w:r>
        <w:rPr>
          <w:sz w:val="24"/>
          <w:szCs w:val="24"/>
        </w:rPr>
        <w:t xml:space="preserve"> (в редакции Постановления №268 от 09.11.2015 г.)</w:t>
      </w:r>
      <w:r w:rsidRPr="0078496B">
        <w:rPr>
          <w:sz w:val="24"/>
          <w:szCs w:val="24"/>
        </w:rPr>
        <w:t>, субъектами внутреннего финансового контроля и аудита предоставляется органу внутреннего муниципального финансового контроля, запрашиваемая информация и документы в целях проведения анализа осуществления внутреннего финансового контроля и аудита.</w:t>
      </w:r>
    </w:p>
    <w:p w:rsidR="00B524BF" w:rsidRPr="0078496B" w:rsidRDefault="00B524BF" w:rsidP="00C82A73">
      <w:pPr>
        <w:ind w:firstLine="900"/>
        <w:jc w:val="both"/>
        <w:rPr>
          <w:sz w:val="24"/>
          <w:szCs w:val="24"/>
        </w:rPr>
      </w:pPr>
      <w:r w:rsidRPr="0078496B">
        <w:rPr>
          <w:sz w:val="24"/>
          <w:szCs w:val="24"/>
        </w:rPr>
        <w:t>С учетом приказа Министерства финансов Удмуртской Республики от 13 августа 2015 года № 166 «О внесении изменений в приказ Министерства финансов Удмуртской Республики от 24 марта 2014 года №34 «Об утверждении формы ежеквартального отчета по контрольно - ревизионной работе» всеми субъектами внутреннего финансового контроля и аудита предостав</w:t>
      </w:r>
      <w:r>
        <w:rPr>
          <w:sz w:val="24"/>
          <w:szCs w:val="24"/>
        </w:rPr>
        <w:t>лена необходимая информация за 4</w:t>
      </w:r>
      <w:r w:rsidRPr="0078496B">
        <w:rPr>
          <w:sz w:val="24"/>
          <w:szCs w:val="24"/>
        </w:rPr>
        <w:t xml:space="preserve"> квартал 2015 года (запрос органа внутреннего муниципальног</w:t>
      </w:r>
      <w:r>
        <w:rPr>
          <w:sz w:val="24"/>
          <w:szCs w:val="24"/>
        </w:rPr>
        <w:t>о  финансового контроля  № исх. 30</w:t>
      </w:r>
      <w:r w:rsidRPr="0078496B">
        <w:rPr>
          <w:sz w:val="24"/>
          <w:szCs w:val="24"/>
        </w:rPr>
        <w:t xml:space="preserve">-15 от </w:t>
      </w:r>
      <w:r>
        <w:rPr>
          <w:sz w:val="24"/>
          <w:szCs w:val="24"/>
        </w:rPr>
        <w:t>17.12.</w:t>
      </w:r>
      <w:r w:rsidRPr="0078496B">
        <w:rPr>
          <w:sz w:val="24"/>
          <w:szCs w:val="24"/>
        </w:rPr>
        <w:t>2015 года).</w:t>
      </w:r>
    </w:p>
    <w:tbl>
      <w:tblPr>
        <w:tblW w:w="98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7"/>
        <w:gridCol w:w="6681"/>
        <w:gridCol w:w="1065"/>
        <w:gridCol w:w="1275"/>
      </w:tblGrid>
      <w:tr w:rsidR="00B524BF" w:rsidRPr="008D63FA" w:rsidTr="00A638F3">
        <w:tc>
          <w:tcPr>
            <w:tcW w:w="807" w:type="dxa"/>
            <w:vAlign w:val="center"/>
          </w:tcPr>
          <w:p w:rsidR="00B524BF" w:rsidRPr="0078496B" w:rsidRDefault="00B524BF" w:rsidP="008D63FA">
            <w:pPr>
              <w:jc w:val="center"/>
              <w:rPr>
                <w:b/>
                <w:bCs/>
                <w:sz w:val="20"/>
                <w:szCs w:val="20"/>
                <w:lang w:eastAsia="en-US"/>
              </w:rPr>
            </w:pPr>
            <w:r w:rsidRPr="0078496B">
              <w:rPr>
                <w:b/>
                <w:bCs/>
                <w:sz w:val="20"/>
                <w:szCs w:val="20"/>
                <w:lang w:eastAsia="en-US"/>
              </w:rPr>
              <w:t>№ п/п</w:t>
            </w:r>
          </w:p>
        </w:tc>
        <w:tc>
          <w:tcPr>
            <w:tcW w:w="6681" w:type="dxa"/>
            <w:vAlign w:val="center"/>
          </w:tcPr>
          <w:p w:rsidR="00B524BF" w:rsidRPr="0078496B" w:rsidRDefault="00B524BF" w:rsidP="008D63FA">
            <w:pPr>
              <w:jc w:val="center"/>
              <w:rPr>
                <w:b/>
                <w:bCs/>
                <w:sz w:val="20"/>
                <w:szCs w:val="20"/>
                <w:lang w:eastAsia="en-US"/>
              </w:rPr>
            </w:pPr>
            <w:r w:rsidRPr="0078496B">
              <w:rPr>
                <w:b/>
                <w:bCs/>
                <w:sz w:val="20"/>
                <w:szCs w:val="20"/>
                <w:lang w:eastAsia="en-US"/>
              </w:rPr>
              <w:t>Наименование показателя</w:t>
            </w:r>
          </w:p>
        </w:tc>
        <w:tc>
          <w:tcPr>
            <w:tcW w:w="1065" w:type="dxa"/>
            <w:tcBorders>
              <w:right w:val="single" w:sz="4" w:space="0" w:color="auto"/>
            </w:tcBorders>
            <w:vAlign w:val="center"/>
          </w:tcPr>
          <w:p w:rsidR="00B524BF" w:rsidRPr="0078496B" w:rsidRDefault="00B524BF" w:rsidP="008D63FA">
            <w:pPr>
              <w:jc w:val="center"/>
              <w:rPr>
                <w:b/>
                <w:bCs/>
                <w:sz w:val="20"/>
                <w:szCs w:val="20"/>
                <w:lang w:eastAsia="en-US"/>
              </w:rPr>
            </w:pPr>
            <w:r>
              <w:rPr>
                <w:b/>
                <w:bCs/>
                <w:sz w:val="20"/>
                <w:szCs w:val="20"/>
                <w:lang w:eastAsia="en-US"/>
              </w:rPr>
              <w:t xml:space="preserve">за </w:t>
            </w:r>
            <w:r w:rsidRPr="00E351C8">
              <w:rPr>
                <w:b/>
                <w:bCs/>
                <w:sz w:val="20"/>
                <w:szCs w:val="20"/>
                <w:lang w:eastAsia="en-US"/>
              </w:rPr>
              <w:t>4</w:t>
            </w:r>
            <w:r>
              <w:rPr>
                <w:b/>
                <w:bCs/>
                <w:sz w:val="20"/>
                <w:szCs w:val="20"/>
                <w:lang w:eastAsia="en-US"/>
              </w:rPr>
              <w:t xml:space="preserve"> кв.</w:t>
            </w:r>
            <w:r w:rsidRPr="0078496B">
              <w:rPr>
                <w:b/>
                <w:bCs/>
                <w:sz w:val="20"/>
                <w:szCs w:val="20"/>
                <w:lang w:eastAsia="en-US"/>
              </w:rPr>
              <w:t xml:space="preserve"> 2015 года</w:t>
            </w:r>
          </w:p>
        </w:tc>
        <w:tc>
          <w:tcPr>
            <w:tcW w:w="1275" w:type="dxa"/>
            <w:tcBorders>
              <w:left w:val="single" w:sz="4" w:space="0" w:color="auto"/>
            </w:tcBorders>
            <w:vAlign w:val="center"/>
          </w:tcPr>
          <w:p w:rsidR="00B524BF" w:rsidRPr="0078496B" w:rsidRDefault="00B524BF" w:rsidP="008D63FA">
            <w:pPr>
              <w:jc w:val="center"/>
              <w:rPr>
                <w:b/>
                <w:bCs/>
                <w:sz w:val="20"/>
                <w:szCs w:val="20"/>
                <w:lang w:eastAsia="en-US"/>
              </w:rPr>
            </w:pPr>
            <w:r>
              <w:rPr>
                <w:b/>
                <w:bCs/>
                <w:sz w:val="20"/>
                <w:szCs w:val="20"/>
                <w:lang w:eastAsia="en-US"/>
              </w:rPr>
              <w:t>ИТОГО за 2015 год</w:t>
            </w:r>
          </w:p>
        </w:tc>
      </w:tr>
      <w:tr w:rsidR="00B524BF" w:rsidRPr="008D63FA" w:rsidTr="00A638F3">
        <w:trPr>
          <w:trHeight w:val="360"/>
        </w:trPr>
        <w:tc>
          <w:tcPr>
            <w:tcW w:w="807" w:type="dxa"/>
            <w:vMerge w:val="restart"/>
          </w:tcPr>
          <w:p w:rsidR="00B524BF" w:rsidRPr="0078496B" w:rsidRDefault="00B524BF" w:rsidP="0078496B">
            <w:pPr>
              <w:jc w:val="center"/>
              <w:rPr>
                <w:b/>
                <w:bCs/>
                <w:sz w:val="24"/>
                <w:szCs w:val="24"/>
                <w:lang w:eastAsia="en-US"/>
              </w:rPr>
            </w:pPr>
            <w:r w:rsidRPr="0078496B">
              <w:rPr>
                <w:b/>
                <w:bCs/>
                <w:sz w:val="24"/>
                <w:szCs w:val="24"/>
                <w:lang w:eastAsia="en-US"/>
              </w:rPr>
              <w:t>1</w:t>
            </w:r>
          </w:p>
          <w:p w:rsidR="00B524BF" w:rsidRPr="0078496B" w:rsidRDefault="00B524BF" w:rsidP="0078496B">
            <w:pPr>
              <w:jc w:val="center"/>
              <w:rPr>
                <w:b/>
                <w:bCs/>
                <w:sz w:val="24"/>
                <w:szCs w:val="24"/>
                <w:lang w:eastAsia="en-US"/>
              </w:rPr>
            </w:pPr>
          </w:p>
        </w:tc>
        <w:tc>
          <w:tcPr>
            <w:tcW w:w="6681" w:type="dxa"/>
            <w:vAlign w:val="center"/>
          </w:tcPr>
          <w:p w:rsidR="00B524BF" w:rsidRPr="0078496B" w:rsidRDefault="00B524BF" w:rsidP="0078496B">
            <w:pPr>
              <w:jc w:val="both"/>
              <w:rPr>
                <w:b/>
                <w:bCs/>
                <w:sz w:val="24"/>
                <w:szCs w:val="24"/>
                <w:lang w:eastAsia="en-US"/>
              </w:rPr>
            </w:pPr>
            <w:r w:rsidRPr="0078496B">
              <w:rPr>
                <w:b/>
                <w:bCs/>
                <w:sz w:val="24"/>
                <w:szCs w:val="24"/>
                <w:lang w:eastAsia="en-US"/>
              </w:rPr>
              <w:t xml:space="preserve">Проведено всеми ГАБС мероприятий по внутреннему финансовому контролю в соответствии со ст. 160.2-1 Бюджетного кодекса РФ, </w:t>
            </w:r>
            <w:r w:rsidRPr="0078496B">
              <w:rPr>
                <w:b/>
                <w:bCs/>
                <w:sz w:val="20"/>
                <w:szCs w:val="20"/>
                <w:lang w:eastAsia="en-US"/>
              </w:rPr>
              <w:t>в том числе:</w:t>
            </w:r>
          </w:p>
        </w:tc>
        <w:tc>
          <w:tcPr>
            <w:tcW w:w="1065" w:type="dxa"/>
            <w:tcBorders>
              <w:right w:val="single" w:sz="4" w:space="0" w:color="auto"/>
            </w:tcBorders>
            <w:vAlign w:val="center"/>
          </w:tcPr>
          <w:p w:rsidR="00B524BF" w:rsidRPr="0078496B" w:rsidRDefault="00B524BF" w:rsidP="008D63FA">
            <w:pPr>
              <w:jc w:val="center"/>
              <w:rPr>
                <w:b/>
                <w:bCs/>
                <w:sz w:val="24"/>
                <w:szCs w:val="24"/>
                <w:lang w:eastAsia="en-US"/>
              </w:rPr>
            </w:pPr>
            <w:r>
              <w:rPr>
                <w:b/>
                <w:bCs/>
                <w:sz w:val="24"/>
                <w:szCs w:val="24"/>
                <w:lang w:eastAsia="en-US"/>
              </w:rPr>
              <w:t>17</w:t>
            </w:r>
          </w:p>
        </w:tc>
        <w:tc>
          <w:tcPr>
            <w:tcW w:w="1275" w:type="dxa"/>
            <w:tcBorders>
              <w:left w:val="single" w:sz="4" w:space="0" w:color="auto"/>
            </w:tcBorders>
            <w:vAlign w:val="center"/>
          </w:tcPr>
          <w:p w:rsidR="00B524BF" w:rsidRPr="0078496B" w:rsidRDefault="00B524BF" w:rsidP="00E351C8">
            <w:pPr>
              <w:jc w:val="center"/>
              <w:rPr>
                <w:b/>
                <w:bCs/>
                <w:sz w:val="24"/>
                <w:szCs w:val="24"/>
                <w:lang w:eastAsia="en-US"/>
              </w:rPr>
            </w:pPr>
            <w:r>
              <w:rPr>
                <w:b/>
                <w:bCs/>
                <w:sz w:val="24"/>
                <w:szCs w:val="24"/>
                <w:lang w:eastAsia="en-US"/>
              </w:rPr>
              <w:t>55</w:t>
            </w:r>
          </w:p>
        </w:tc>
      </w:tr>
      <w:tr w:rsidR="00B524BF" w:rsidRPr="008D63FA" w:rsidTr="00A638F3">
        <w:trPr>
          <w:trHeight w:val="597"/>
        </w:trPr>
        <w:tc>
          <w:tcPr>
            <w:tcW w:w="0" w:type="auto"/>
            <w:vMerge/>
          </w:tcPr>
          <w:p w:rsidR="00B524BF" w:rsidRPr="0078496B" w:rsidRDefault="00B524BF" w:rsidP="0078496B">
            <w:pPr>
              <w:jc w:val="center"/>
              <w:rPr>
                <w:b/>
                <w:bCs/>
                <w:sz w:val="24"/>
                <w:szCs w:val="24"/>
                <w:lang w:eastAsia="en-US"/>
              </w:rPr>
            </w:pPr>
          </w:p>
        </w:tc>
        <w:tc>
          <w:tcPr>
            <w:tcW w:w="6681" w:type="dxa"/>
            <w:vAlign w:val="center"/>
          </w:tcPr>
          <w:p w:rsidR="00B524BF" w:rsidRPr="008D63FA" w:rsidRDefault="00B524BF" w:rsidP="008D63FA">
            <w:pPr>
              <w:pStyle w:val="ListParagraph"/>
              <w:numPr>
                <w:ilvl w:val="0"/>
                <w:numId w:val="1"/>
              </w:numPr>
              <w:ind w:left="34" w:firstLine="0"/>
              <w:rPr>
                <w:sz w:val="24"/>
                <w:szCs w:val="24"/>
                <w:lang w:eastAsia="en-US"/>
              </w:rPr>
            </w:pPr>
            <w:r w:rsidRPr="008D63FA">
              <w:rPr>
                <w:sz w:val="24"/>
                <w:szCs w:val="24"/>
                <w:lang w:eastAsia="en-US"/>
              </w:rPr>
              <w:t>Райсовет</w:t>
            </w:r>
          </w:p>
          <w:p w:rsidR="00B524BF" w:rsidRPr="008D63FA" w:rsidRDefault="00B524BF" w:rsidP="008D63FA">
            <w:pPr>
              <w:pStyle w:val="ListParagraph"/>
              <w:numPr>
                <w:ilvl w:val="0"/>
                <w:numId w:val="1"/>
              </w:numPr>
              <w:ind w:left="34" w:firstLine="0"/>
              <w:rPr>
                <w:sz w:val="24"/>
                <w:szCs w:val="24"/>
                <w:lang w:eastAsia="en-US"/>
              </w:rPr>
            </w:pPr>
            <w:r w:rsidRPr="008D63FA">
              <w:rPr>
                <w:sz w:val="24"/>
                <w:szCs w:val="24"/>
                <w:lang w:eastAsia="en-US"/>
              </w:rPr>
              <w:t>Администрация</w:t>
            </w:r>
          </w:p>
          <w:p w:rsidR="00B524BF" w:rsidRPr="008D63FA" w:rsidRDefault="00B524BF" w:rsidP="008D63FA">
            <w:pPr>
              <w:pStyle w:val="ListParagraph"/>
              <w:numPr>
                <w:ilvl w:val="0"/>
                <w:numId w:val="1"/>
              </w:numPr>
              <w:ind w:left="34" w:firstLine="0"/>
              <w:rPr>
                <w:sz w:val="24"/>
                <w:szCs w:val="24"/>
                <w:lang w:eastAsia="en-US"/>
              </w:rPr>
            </w:pPr>
            <w:r w:rsidRPr="008D63FA">
              <w:rPr>
                <w:sz w:val="24"/>
                <w:szCs w:val="24"/>
                <w:lang w:eastAsia="en-US"/>
              </w:rPr>
              <w:t>Управление финансов</w:t>
            </w:r>
          </w:p>
          <w:p w:rsidR="00B524BF" w:rsidRPr="008D63FA" w:rsidRDefault="00B524BF" w:rsidP="008D63FA">
            <w:pPr>
              <w:pStyle w:val="ListParagraph"/>
              <w:numPr>
                <w:ilvl w:val="0"/>
                <w:numId w:val="1"/>
              </w:numPr>
              <w:ind w:left="34" w:firstLine="0"/>
              <w:rPr>
                <w:sz w:val="24"/>
                <w:szCs w:val="24"/>
                <w:lang w:eastAsia="en-US"/>
              </w:rPr>
            </w:pPr>
            <w:r w:rsidRPr="008D63FA">
              <w:rPr>
                <w:sz w:val="24"/>
                <w:szCs w:val="24"/>
                <w:lang w:eastAsia="en-US"/>
              </w:rPr>
              <w:t>Управление образования</w:t>
            </w:r>
          </w:p>
          <w:p w:rsidR="00B524BF" w:rsidRPr="008D63FA" w:rsidRDefault="00B524BF" w:rsidP="008D63FA">
            <w:pPr>
              <w:pStyle w:val="ListParagraph"/>
              <w:numPr>
                <w:ilvl w:val="0"/>
                <w:numId w:val="1"/>
              </w:numPr>
              <w:ind w:left="34" w:firstLine="0"/>
              <w:rPr>
                <w:sz w:val="24"/>
                <w:szCs w:val="24"/>
                <w:lang w:eastAsia="en-US"/>
              </w:rPr>
            </w:pPr>
            <w:r>
              <w:rPr>
                <w:sz w:val="24"/>
                <w:szCs w:val="24"/>
                <w:lang w:eastAsia="en-US"/>
              </w:rPr>
              <w:t>Управление</w:t>
            </w:r>
            <w:r w:rsidRPr="008D63FA">
              <w:rPr>
                <w:sz w:val="24"/>
                <w:szCs w:val="24"/>
                <w:lang w:eastAsia="en-US"/>
              </w:rPr>
              <w:t xml:space="preserve"> культуры</w:t>
            </w:r>
          </w:p>
          <w:p w:rsidR="00B524BF" w:rsidRPr="008D63FA" w:rsidRDefault="00B524BF" w:rsidP="0078496B">
            <w:pPr>
              <w:pStyle w:val="ListParagraph"/>
              <w:numPr>
                <w:ilvl w:val="0"/>
                <w:numId w:val="1"/>
              </w:numPr>
              <w:ind w:left="34" w:firstLine="0"/>
              <w:rPr>
                <w:sz w:val="24"/>
                <w:szCs w:val="24"/>
                <w:lang w:eastAsia="en-US"/>
              </w:rPr>
            </w:pPr>
            <w:r w:rsidRPr="008D63FA">
              <w:rPr>
                <w:sz w:val="24"/>
                <w:szCs w:val="24"/>
                <w:lang w:eastAsia="en-US"/>
              </w:rPr>
              <w:t>Управление сельского хозяйства</w:t>
            </w:r>
          </w:p>
        </w:tc>
        <w:tc>
          <w:tcPr>
            <w:tcW w:w="1065" w:type="dxa"/>
            <w:tcBorders>
              <w:right w:val="single" w:sz="4" w:space="0" w:color="auto"/>
            </w:tcBorders>
            <w:vAlign w:val="center"/>
          </w:tcPr>
          <w:p w:rsidR="00B524BF" w:rsidRPr="008D63FA" w:rsidRDefault="00B524BF" w:rsidP="008D63FA">
            <w:pPr>
              <w:jc w:val="center"/>
              <w:rPr>
                <w:sz w:val="24"/>
                <w:szCs w:val="24"/>
                <w:lang w:eastAsia="en-US"/>
              </w:rPr>
            </w:pPr>
            <w:r>
              <w:rPr>
                <w:sz w:val="24"/>
                <w:szCs w:val="24"/>
                <w:lang w:eastAsia="en-US"/>
              </w:rPr>
              <w:t>2</w:t>
            </w:r>
          </w:p>
          <w:p w:rsidR="00B524BF" w:rsidRPr="008D63FA" w:rsidRDefault="00B524BF" w:rsidP="008D63FA">
            <w:pPr>
              <w:jc w:val="center"/>
              <w:rPr>
                <w:sz w:val="24"/>
                <w:szCs w:val="24"/>
                <w:lang w:eastAsia="en-US"/>
              </w:rPr>
            </w:pPr>
            <w:r>
              <w:rPr>
                <w:sz w:val="24"/>
                <w:szCs w:val="24"/>
                <w:lang w:eastAsia="en-US"/>
              </w:rPr>
              <w:t>4</w:t>
            </w:r>
          </w:p>
          <w:p w:rsidR="00B524BF" w:rsidRPr="008D63FA" w:rsidRDefault="00B524BF" w:rsidP="008D63FA">
            <w:pPr>
              <w:jc w:val="center"/>
              <w:rPr>
                <w:sz w:val="24"/>
                <w:szCs w:val="24"/>
                <w:lang w:eastAsia="en-US"/>
              </w:rPr>
            </w:pPr>
            <w:r>
              <w:rPr>
                <w:sz w:val="24"/>
                <w:szCs w:val="24"/>
                <w:lang w:eastAsia="en-US"/>
              </w:rPr>
              <w:t>2</w:t>
            </w:r>
          </w:p>
          <w:p w:rsidR="00B524BF" w:rsidRPr="008D63FA" w:rsidRDefault="00B524BF" w:rsidP="008D63FA">
            <w:pPr>
              <w:jc w:val="center"/>
              <w:rPr>
                <w:sz w:val="24"/>
                <w:szCs w:val="24"/>
                <w:lang w:eastAsia="en-US"/>
              </w:rPr>
            </w:pPr>
            <w:r>
              <w:rPr>
                <w:sz w:val="24"/>
                <w:szCs w:val="24"/>
                <w:lang w:eastAsia="en-US"/>
              </w:rPr>
              <w:t>5</w:t>
            </w:r>
          </w:p>
          <w:p w:rsidR="00B524BF" w:rsidRPr="008D63FA" w:rsidRDefault="00B524BF" w:rsidP="008D63FA">
            <w:pPr>
              <w:jc w:val="center"/>
              <w:rPr>
                <w:sz w:val="24"/>
                <w:szCs w:val="24"/>
                <w:lang w:eastAsia="en-US"/>
              </w:rPr>
            </w:pPr>
            <w:r>
              <w:rPr>
                <w:sz w:val="24"/>
                <w:szCs w:val="24"/>
                <w:lang w:eastAsia="en-US"/>
              </w:rPr>
              <w:t>2</w:t>
            </w:r>
          </w:p>
          <w:p w:rsidR="00B524BF" w:rsidRPr="008D63FA" w:rsidRDefault="00B524BF" w:rsidP="0078496B">
            <w:pPr>
              <w:jc w:val="center"/>
              <w:rPr>
                <w:sz w:val="24"/>
                <w:szCs w:val="24"/>
                <w:lang w:eastAsia="en-US"/>
              </w:rPr>
            </w:pPr>
            <w:r>
              <w:rPr>
                <w:sz w:val="24"/>
                <w:szCs w:val="24"/>
                <w:lang w:eastAsia="en-US"/>
              </w:rPr>
              <w:t>2</w:t>
            </w:r>
          </w:p>
        </w:tc>
        <w:tc>
          <w:tcPr>
            <w:tcW w:w="1275" w:type="dxa"/>
            <w:tcBorders>
              <w:left w:val="single" w:sz="4" w:space="0" w:color="auto"/>
            </w:tcBorders>
            <w:vAlign w:val="center"/>
          </w:tcPr>
          <w:p w:rsidR="00B524BF" w:rsidRDefault="00B524BF" w:rsidP="00E351C8">
            <w:pPr>
              <w:jc w:val="center"/>
              <w:rPr>
                <w:sz w:val="24"/>
                <w:szCs w:val="24"/>
                <w:lang w:eastAsia="en-US"/>
              </w:rPr>
            </w:pPr>
            <w:r>
              <w:rPr>
                <w:sz w:val="24"/>
                <w:szCs w:val="24"/>
                <w:lang w:eastAsia="en-US"/>
              </w:rPr>
              <w:t>8</w:t>
            </w:r>
          </w:p>
          <w:p w:rsidR="00B524BF" w:rsidRDefault="00B524BF" w:rsidP="00E351C8">
            <w:pPr>
              <w:jc w:val="center"/>
              <w:rPr>
                <w:sz w:val="24"/>
                <w:szCs w:val="24"/>
                <w:lang w:eastAsia="en-US"/>
              </w:rPr>
            </w:pPr>
            <w:r>
              <w:rPr>
                <w:sz w:val="24"/>
                <w:szCs w:val="24"/>
                <w:lang w:eastAsia="en-US"/>
              </w:rPr>
              <w:t>14</w:t>
            </w:r>
          </w:p>
          <w:p w:rsidR="00B524BF" w:rsidRDefault="00B524BF" w:rsidP="00E351C8">
            <w:pPr>
              <w:jc w:val="center"/>
              <w:rPr>
                <w:sz w:val="24"/>
                <w:szCs w:val="24"/>
                <w:lang w:eastAsia="en-US"/>
              </w:rPr>
            </w:pPr>
            <w:r>
              <w:rPr>
                <w:sz w:val="24"/>
                <w:szCs w:val="24"/>
                <w:lang w:eastAsia="en-US"/>
              </w:rPr>
              <w:t>6</w:t>
            </w:r>
          </w:p>
          <w:p w:rsidR="00B524BF" w:rsidRDefault="00B524BF" w:rsidP="00E351C8">
            <w:pPr>
              <w:jc w:val="center"/>
              <w:rPr>
                <w:sz w:val="24"/>
                <w:szCs w:val="24"/>
                <w:lang w:eastAsia="en-US"/>
              </w:rPr>
            </w:pPr>
            <w:r>
              <w:rPr>
                <w:sz w:val="24"/>
                <w:szCs w:val="24"/>
                <w:lang w:eastAsia="en-US"/>
              </w:rPr>
              <w:t>16</w:t>
            </w:r>
          </w:p>
          <w:p w:rsidR="00B524BF" w:rsidRDefault="00B524BF" w:rsidP="00E351C8">
            <w:pPr>
              <w:jc w:val="center"/>
              <w:rPr>
                <w:sz w:val="24"/>
                <w:szCs w:val="24"/>
                <w:lang w:eastAsia="en-US"/>
              </w:rPr>
            </w:pPr>
            <w:r>
              <w:rPr>
                <w:sz w:val="24"/>
                <w:szCs w:val="24"/>
                <w:lang w:eastAsia="en-US"/>
              </w:rPr>
              <w:t>6</w:t>
            </w:r>
          </w:p>
          <w:p w:rsidR="00B524BF" w:rsidRPr="008D63FA" w:rsidRDefault="00B524BF" w:rsidP="00E351C8">
            <w:pPr>
              <w:jc w:val="center"/>
              <w:rPr>
                <w:sz w:val="24"/>
                <w:szCs w:val="24"/>
                <w:lang w:eastAsia="en-US"/>
              </w:rPr>
            </w:pPr>
            <w:r>
              <w:rPr>
                <w:sz w:val="24"/>
                <w:szCs w:val="24"/>
                <w:lang w:eastAsia="en-US"/>
              </w:rPr>
              <w:t>5</w:t>
            </w:r>
          </w:p>
        </w:tc>
      </w:tr>
      <w:tr w:rsidR="00B524BF" w:rsidRPr="008D63FA" w:rsidTr="00A638F3">
        <w:trPr>
          <w:trHeight w:val="523"/>
        </w:trPr>
        <w:tc>
          <w:tcPr>
            <w:tcW w:w="807" w:type="dxa"/>
            <w:vMerge w:val="restart"/>
          </w:tcPr>
          <w:p w:rsidR="00B524BF" w:rsidRPr="0078496B" w:rsidRDefault="00B524BF" w:rsidP="0078496B">
            <w:pPr>
              <w:jc w:val="center"/>
              <w:rPr>
                <w:b/>
                <w:bCs/>
                <w:sz w:val="24"/>
                <w:szCs w:val="24"/>
                <w:lang w:eastAsia="en-US"/>
              </w:rPr>
            </w:pPr>
            <w:r w:rsidRPr="0078496B">
              <w:rPr>
                <w:b/>
                <w:bCs/>
                <w:sz w:val="24"/>
                <w:szCs w:val="24"/>
                <w:lang w:eastAsia="en-US"/>
              </w:rPr>
              <w:t>2</w:t>
            </w:r>
          </w:p>
        </w:tc>
        <w:tc>
          <w:tcPr>
            <w:tcW w:w="6681" w:type="dxa"/>
            <w:vAlign w:val="center"/>
          </w:tcPr>
          <w:p w:rsidR="00B524BF" w:rsidRPr="0078496B" w:rsidRDefault="00B524BF" w:rsidP="0078496B">
            <w:pPr>
              <w:pStyle w:val="ListParagraph"/>
              <w:ind w:left="34"/>
              <w:jc w:val="both"/>
              <w:rPr>
                <w:b/>
                <w:bCs/>
                <w:sz w:val="24"/>
                <w:szCs w:val="24"/>
                <w:lang w:eastAsia="en-US"/>
              </w:rPr>
            </w:pPr>
            <w:r w:rsidRPr="0078496B">
              <w:rPr>
                <w:b/>
                <w:bCs/>
                <w:sz w:val="24"/>
                <w:szCs w:val="24"/>
                <w:lang w:eastAsia="en-US"/>
              </w:rPr>
              <w:t xml:space="preserve">Проведено всеми ГАБС мероприятий по внутреннему финансовому аудиту в соответствии со ст. 160.2-1 Бюджетного кодекса РФ, </w:t>
            </w:r>
            <w:r w:rsidRPr="0078496B">
              <w:rPr>
                <w:b/>
                <w:bCs/>
                <w:sz w:val="20"/>
                <w:szCs w:val="20"/>
                <w:lang w:eastAsia="en-US"/>
              </w:rPr>
              <w:t>в том числе:</w:t>
            </w:r>
          </w:p>
        </w:tc>
        <w:tc>
          <w:tcPr>
            <w:tcW w:w="1065" w:type="dxa"/>
            <w:tcBorders>
              <w:right w:val="single" w:sz="4" w:space="0" w:color="auto"/>
            </w:tcBorders>
            <w:vAlign w:val="center"/>
          </w:tcPr>
          <w:p w:rsidR="00B524BF" w:rsidRPr="0078496B" w:rsidRDefault="00B524BF" w:rsidP="008D63FA">
            <w:pPr>
              <w:jc w:val="center"/>
              <w:rPr>
                <w:b/>
                <w:bCs/>
                <w:sz w:val="24"/>
                <w:szCs w:val="24"/>
                <w:lang w:eastAsia="en-US"/>
              </w:rPr>
            </w:pPr>
            <w:r w:rsidRPr="0078496B">
              <w:rPr>
                <w:b/>
                <w:bCs/>
                <w:sz w:val="24"/>
                <w:szCs w:val="24"/>
                <w:lang w:eastAsia="en-US"/>
              </w:rPr>
              <w:t>-</w:t>
            </w:r>
          </w:p>
        </w:tc>
        <w:tc>
          <w:tcPr>
            <w:tcW w:w="1275" w:type="dxa"/>
            <w:tcBorders>
              <w:left w:val="single" w:sz="4" w:space="0" w:color="auto"/>
            </w:tcBorders>
            <w:vAlign w:val="center"/>
          </w:tcPr>
          <w:p w:rsidR="00B524BF" w:rsidRPr="0078496B" w:rsidRDefault="00B524BF" w:rsidP="00F23480">
            <w:pPr>
              <w:jc w:val="center"/>
              <w:rPr>
                <w:b/>
                <w:bCs/>
                <w:sz w:val="24"/>
                <w:szCs w:val="24"/>
                <w:lang w:eastAsia="en-US"/>
              </w:rPr>
            </w:pPr>
            <w:r w:rsidRPr="0078496B">
              <w:rPr>
                <w:b/>
                <w:bCs/>
                <w:sz w:val="24"/>
                <w:szCs w:val="24"/>
                <w:lang w:eastAsia="en-US"/>
              </w:rPr>
              <w:t>-</w:t>
            </w:r>
          </w:p>
        </w:tc>
      </w:tr>
      <w:tr w:rsidR="00B524BF" w:rsidRPr="008D63FA" w:rsidTr="00A638F3">
        <w:trPr>
          <w:trHeight w:val="635"/>
        </w:trPr>
        <w:tc>
          <w:tcPr>
            <w:tcW w:w="0" w:type="auto"/>
            <w:vMerge/>
            <w:vAlign w:val="center"/>
          </w:tcPr>
          <w:p w:rsidR="00B524BF" w:rsidRPr="008D63FA" w:rsidRDefault="00B524BF" w:rsidP="008D63FA">
            <w:pPr>
              <w:jc w:val="center"/>
              <w:rPr>
                <w:sz w:val="24"/>
                <w:szCs w:val="24"/>
                <w:lang w:eastAsia="en-US"/>
              </w:rPr>
            </w:pPr>
          </w:p>
        </w:tc>
        <w:tc>
          <w:tcPr>
            <w:tcW w:w="6681" w:type="dxa"/>
            <w:tcBorders>
              <w:top w:val="single" w:sz="4" w:space="0" w:color="auto"/>
              <w:bottom w:val="single" w:sz="4" w:space="0" w:color="auto"/>
            </w:tcBorders>
            <w:vAlign w:val="center"/>
          </w:tcPr>
          <w:p w:rsidR="00B524BF" w:rsidRDefault="00B524BF" w:rsidP="0078496B">
            <w:pPr>
              <w:pStyle w:val="ListParagraph"/>
              <w:numPr>
                <w:ilvl w:val="0"/>
                <w:numId w:val="8"/>
              </w:numPr>
              <w:ind w:hanging="637"/>
              <w:rPr>
                <w:sz w:val="24"/>
                <w:szCs w:val="24"/>
                <w:lang w:eastAsia="en-US"/>
              </w:rPr>
            </w:pPr>
            <w:r w:rsidRPr="008D63FA">
              <w:rPr>
                <w:sz w:val="24"/>
                <w:szCs w:val="24"/>
                <w:lang w:eastAsia="en-US"/>
              </w:rPr>
              <w:t>Райсовет</w:t>
            </w:r>
          </w:p>
          <w:p w:rsidR="00B524BF" w:rsidRDefault="00B524BF" w:rsidP="0078496B">
            <w:pPr>
              <w:pStyle w:val="ListParagraph"/>
              <w:numPr>
                <w:ilvl w:val="0"/>
                <w:numId w:val="8"/>
              </w:numPr>
              <w:ind w:hanging="637"/>
              <w:rPr>
                <w:sz w:val="24"/>
                <w:szCs w:val="24"/>
                <w:lang w:eastAsia="en-US"/>
              </w:rPr>
            </w:pPr>
            <w:r w:rsidRPr="008D63FA">
              <w:rPr>
                <w:sz w:val="24"/>
                <w:szCs w:val="24"/>
                <w:lang w:eastAsia="en-US"/>
              </w:rPr>
              <w:t>Администрация</w:t>
            </w:r>
          </w:p>
          <w:p w:rsidR="00B524BF" w:rsidRDefault="00B524BF" w:rsidP="0078496B">
            <w:pPr>
              <w:pStyle w:val="ListParagraph"/>
              <w:numPr>
                <w:ilvl w:val="0"/>
                <w:numId w:val="8"/>
              </w:numPr>
              <w:ind w:hanging="637"/>
              <w:rPr>
                <w:sz w:val="24"/>
                <w:szCs w:val="24"/>
                <w:lang w:eastAsia="en-US"/>
              </w:rPr>
            </w:pPr>
            <w:r w:rsidRPr="008D63FA">
              <w:rPr>
                <w:sz w:val="24"/>
                <w:szCs w:val="24"/>
                <w:lang w:eastAsia="en-US"/>
              </w:rPr>
              <w:t>Управление финансов</w:t>
            </w:r>
          </w:p>
          <w:p w:rsidR="00B524BF" w:rsidRDefault="00B524BF" w:rsidP="0078496B">
            <w:pPr>
              <w:pStyle w:val="ListParagraph"/>
              <w:numPr>
                <w:ilvl w:val="0"/>
                <w:numId w:val="8"/>
              </w:numPr>
              <w:ind w:hanging="637"/>
              <w:rPr>
                <w:sz w:val="24"/>
                <w:szCs w:val="24"/>
                <w:lang w:eastAsia="en-US"/>
              </w:rPr>
            </w:pPr>
            <w:r w:rsidRPr="008D63FA">
              <w:rPr>
                <w:sz w:val="24"/>
                <w:szCs w:val="24"/>
                <w:lang w:eastAsia="en-US"/>
              </w:rPr>
              <w:t>Управление образования</w:t>
            </w:r>
          </w:p>
          <w:p w:rsidR="00B524BF" w:rsidRDefault="00B524BF" w:rsidP="0078496B">
            <w:pPr>
              <w:pStyle w:val="ListParagraph"/>
              <w:numPr>
                <w:ilvl w:val="0"/>
                <w:numId w:val="8"/>
              </w:numPr>
              <w:ind w:hanging="637"/>
              <w:rPr>
                <w:sz w:val="24"/>
                <w:szCs w:val="24"/>
                <w:lang w:eastAsia="en-US"/>
              </w:rPr>
            </w:pPr>
            <w:r>
              <w:rPr>
                <w:sz w:val="24"/>
                <w:szCs w:val="24"/>
                <w:lang w:eastAsia="en-US"/>
              </w:rPr>
              <w:t>Управление</w:t>
            </w:r>
            <w:r w:rsidRPr="008D63FA">
              <w:rPr>
                <w:sz w:val="24"/>
                <w:szCs w:val="24"/>
                <w:lang w:eastAsia="en-US"/>
              </w:rPr>
              <w:t xml:space="preserve"> культуры</w:t>
            </w:r>
          </w:p>
          <w:p w:rsidR="00B524BF" w:rsidRPr="008D63FA" w:rsidRDefault="00B524BF" w:rsidP="0078496B">
            <w:pPr>
              <w:pStyle w:val="ListParagraph"/>
              <w:numPr>
                <w:ilvl w:val="0"/>
                <w:numId w:val="8"/>
              </w:numPr>
              <w:ind w:hanging="637"/>
              <w:rPr>
                <w:sz w:val="24"/>
                <w:szCs w:val="24"/>
                <w:lang w:eastAsia="en-US"/>
              </w:rPr>
            </w:pPr>
            <w:r w:rsidRPr="008D63FA">
              <w:rPr>
                <w:sz w:val="24"/>
                <w:szCs w:val="24"/>
                <w:lang w:eastAsia="en-US"/>
              </w:rPr>
              <w:t>Управление сельского хозяйства</w:t>
            </w:r>
          </w:p>
        </w:tc>
        <w:tc>
          <w:tcPr>
            <w:tcW w:w="1065" w:type="dxa"/>
            <w:tcBorders>
              <w:top w:val="single" w:sz="4" w:space="0" w:color="auto"/>
              <w:bottom w:val="single" w:sz="4" w:space="0" w:color="auto"/>
              <w:right w:val="single" w:sz="4" w:space="0" w:color="auto"/>
            </w:tcBorders>
            <w:vAlign w:val="center"/>
          </w:tcPr>
          <w:p w:rsidR="00B524BF" w:rsidRDefault="00B524BF" w:rsidP="00A01A7B">
            <w:pPr>
              <w:jc w:val="center"/>
              <w:rPr>
                <w:sz w:val="24"/>
                <w:szCs w:val="24"/>
                <w:lang w:eastAsia="en-US"/>
              </w:rPr>
            </w:pPr>
            <w:r>
              <w:rPr>
                <w:sz w:val="24"/>
                <w:szCs w:val="24"/>
                <w:lang w:eastAsia="en-US"/>
              </w:rPr>
              <w:t>-</w:t>
            </w:r>
          </w:p>
          <w:p w:rsidR="00B524BF" w:rsidRDefault="00B524BF" w:rsidP="00A01A7B">
            <w:pPr>
              <w:jc w:val="center"/>
              <w:rPr>
                <w:sz w:val="24"/>
                <w:szCs w:val="24"/>
                <w:lang w:eastAsia="en-US"/>
              </w:rPr>
            </w:pPr>
            <w:r>
              <w:rPr>
                <w:sz w:val="24"/>
                <w:szCs w:val="24"/>
                <w:lang w:eastAsia="en-US"/>
              </w:rPr>
              <w:t>-</w:t>
            </w:r>
          </w:p>
          <w:p w:rsidR="00B524BF" w:rsidRDefault="00B524BF" w:rsidP="00A01A7B">
            <w:pPr>
              <w:jc w:val="center"/>
              <w:rPr>
                <w:sz w:val="24"/>
                <w:szCs w:val="24"/>
                <w:lang w:eastAsia="en-US"/>
              </w:rPr>
            </w:pPr>
            <w:r>
              <w:rPr>
                <w:sz w:val="24"/>
                <w:szCs w:val="24"/>
                <w:lang w:eastAsia="en-US"/>
              </w:rPr>
              <w:t>-</w:t>
            </w:r>
          </w:p>
          <w:p w:rsidR="00B524BF" w:rsidRDefault="00B524BF" w:rsidP="00A01A7B">
            <w:pPr>
              <w:jc w:val="center"/>
              <w:rPr>
                <w:sz w:val="24"/>
                <w:szCs w:val="24"/>
                <w:lang w:eastAsia="en-US"/>
              </w:rPr>
            </w:pPr>
            <w:r>
              <w:rPr>
                <w:sz w:val="24"/>
                <w:szCs w:val="24"/>
                <w:lang w:eastAsia="en-US"/>
              </w:rPr>
              <w:t>-</w:t>
            </w:r>
          </w:p>
          <w:p w:rsidR="00B524BF" w:rsidRDefault="00B524BF" w:rsidP="00A01A7B">
            <w:pPr>
              <w:jc w:val="center"/>
              <w:rPr>
                <w:sz w:val="24"/>
                <w:szCs w:val="24"/>
                <w:lang w:eastAsia="en-US"/>
              </w:rPr>
            </w:pPr>
            <w:r>
              <w:rPr>
                <w:sz w:val="24"/>
                <w:szCs w:val="24"/>
                <w:lang w:eastAsia="en-US"/>
              </w:rPr>
              <w:t>-</w:t>
            </w:r>
          </w:p>
          <w:p w:rsidR="00B524BF" w:rsidRPr="008D63FA" w:rsidRDefault="00B524BF" w:rsidP="00A01A7B">
            <w:pPr>
              <w:jc w:val="center"/>
              <w:rPr>
                <w:sz w:val="24"/>
                <w:szCs w:val="24"/>
                <w:lang w:eastAsia="en-US"/>
              </w:rPr>
            </w:pPr>
            <w:r>
              <w:rPr>
                <w:sz w:val="24"/>
                <w:szCs w:val="24"/>
                <w:lang w:eastAsia="en-US"/>
              </w:rPr>
              <w:t>-</w:t>
            </w:r>
          </w:p>
        </w:tc>
        <w:tc>
          <w:tcPr>
            <w:tcW w:w="1275" w:type="dxa"/>
            <w:tcBorders>
              <w:top w:val="single" w:sz="4" w:space="0" w:color="auto"/>
              <w:left w:val="single" w:sz="4" w:space="0" w:color="auto"/>
              <w:bottom w:val="single" w:sz="4" w:space="0" w:color="auto"/>
            </w:tcBorders>
            <w:vAlign w:val="center"/>
          </w:tcPr>
          <w:p w:rsidR="00B524BF" w:rsidRDefault="00B524BF" w:rsidP="00F23480">
            <w:pPr>
              <w:jc w:val="center"/>
              <w:rPr>
                <w:sz w:val="24"/>
                <w:szCs w:val="24"/>
                <w:lang w:eastAsia="en-US"/>
              </w:rPr>
            </w:pPr>
            <w:r>
              <w:rPr>
                <w:sz w:val="24"/>
                <w:szCs w:val="24"/>
                <w:lang w:eastAsia="en-US"/>
              </w:rPr>
              <w:t>-</w:t>
            </w:r>
          </w:p>
          <w:p w:rsidR="00B524BF" w:rsidRDefault="00B524BF" w:rsidP="00F23480">
            <w:pPr>
              <w:jc w:val="center"/>
              <w:rPr>
                <w:sz w:val="24"/>
                <w:szCs w:val="24"/>
                <w:lang w:eastAsia="en-US"/>
              </w:rPr>
            </w:pPr>
            <w:r>
              <w:rPr>
                <w:sz w:val="24"/>
                <w:szCs w:val="24"/>
                <w:lang w:eastAsia="en-US"/>
              </w:rPr>
              <w:t>-</w:t>
            </w:r>
          </w:p>
          <w:p w:rsidR="00B524BF" w:rsidRDefault="00B524BF" w:rsidP="00F23480">
            <w:pPr>
              <w:jc w:val="center"/>
              <w:rPr>
                <w:sz w:val="24"/>
                <w:szCs w:val="24"/>
                <w:lang w:eastAsia="en-US"/>
              </w:rPr>
            </w:pPr>
            <w:r>
              <w:rPr>
                <w:sz w:val="24"/>
                <w:szCs w:val="24"/>
                <w:lang w:eastAsia="en-US"/>
              </w:rPr>
              <w:t>-</w:t>
            </w:r>
          </w:p>
          <w:p w:rsidR="00B524BF" w:rsidRDefault="00B524BF" w:rsidP="00F23480">
            <w:pPr>
              <w:jc w:val="center"/>
              <w:rPr>
                <w:sz w:val="24"/>
                <w:szCs w:val="24"/>
                <w:lang w:eastAsia="en-US"/>
              </w:rPr>
            </w:pPr>
            <w:r>
              <w:rPr>
                <w:sz w:val="24"/>
                <w:szCs w:val="24"/>
                <w:lang w:eastAsia="en-US"/>
              </w:rPr>
              <w:t>-</w:t>
            </w:r>
          </w:p>
          <w:p w:rsidR="00B524BF" w:rsidRDefault="00B524BF" w:rsidP="00F23480">
            <w:pPr>
              <w:jc w:val="center"/>
              <w:rPr>
                <w:sz w:val="24"/>
                <w:szCs w:val="24"/>
                <w:lang w:eastAsia="en-US"/>
              </w:rPr>
            </w:pPr>
            <w:r>
              <w:rPr>
                <w:sz w:val="24"/>
                <w:szCs w:val="24"/>
                <w:lang w:eastAsia="en-US"/>
              </w:rPr>
              <w:t>-</w:t>
            </w:r>
          </w:p>
          <w:p w:rsidR="00B524BF" w:rsidRPr="008D63FA" w:rsidRDefault="00B524BF" w:rsidP="00F23480">
            <w:pPr>
              <w:jc w:val="center"/>
              <w:rPr>
                <w:sz w:val="24"/>
                <w:szCs w:val="24"/>
                <w:lang w:eastAsia="en-US"/>
              </w:rPr>
            </w:pPr>
            <w:r>
              <w:rPr>
                <w:sz w:val="24"/>
                <w:szCs w:val="24"/>
                <w:lang w:eastAsia="en-US"/>
              </w:rPr>
              <w:t>-</w:t>
            </w:r>
          </w:p>
        </w:tc>
      </w:tr>
    </w:tbl>
    <w:p w:rsidR="00B524BF" w:rsidRPr="0078496B" w:rsidRDefault="00B524BF" w:rsidP="00194C6C">
      <w:pPr>
        <w:jc w:val="both"/>
        <w:rPr>
          <w:b/>
          <w:bCs/>
          <w:sz w:val="24"/>
          <w:szCs w:val="24"/>
          <w:lang w:eastAsia="en-US"/>
        </w:rPr>
      </w:pPr>
      <w:r w:rsidRPr="0078496B">
        <w:rPr>
          <w:b/>
          <w:bCs/>
          <w:sz w:val="24"/>
          <w:szCs w:val="24"/>
          <w:lang w:eastAsia="en-US"/>
        </w:rPr>
        <w:t>Заключение:</w:t>
      </w:r>
    </w:p>
    <w:p w:rsidR="00B524BF" w:rsidRDefault="00B524BF" w:rsidP="005B5248">
      <w:pPr>
        <w:ind w:firstLine="708"/>
        <w:jc w:val="both"/>
        <w:rPr>
          <w:sz w:val="24"/>
          <w:szCs w:val="24"/>
          <w:lang w:eastAsia="en-US"/>
        </w:rPr>
      </w:pPr>
      <w:r>
        <w:rPr>
          <w:sz w:val="24"/>
          <w:szCs w:val="24"/>
          <w:lang w:eastAsia="en-US"/>
        </w:rPr>
        <w:t>А</w:t>
      </w:r>
      <w:r w:rsidRPr="0078496B">
        <w:rPr>
          <w:sz w:val="24"/>
          <w:szCs w:val="24"/>
          <w:lang w:eastAsia="en-US"/>
        </w:rPr>
        <w:t xml:space="preserve">нализ </w:t>
      </w:r>
      <w:r>
        <w:rPr>
          <w:sz w:val="24"/>
          <w:szCs w:val="24"/>
          <w:lang w:eastAsia="en-US"/>
        </w:rPr>
        <w:t xml:space="preserve">предоставленной информации по </w:t>
      </w:r>
      <w:r w:rsidRPr="0078496B">
        <w:rPr>
          <w:sz w:val="24"/>
          <w:szCs w:val="24"/>
          <w:lang w:eastAsia="en-US"/>
        </w:rPr>
        <w:t>осуществлени</w:t>
      </w:r>
      <w:r>
        <w:rPr>
          <w:sz w:val="24"/>
          <w:szCs w:val="24"/>
          <w:lang w:eastAsia="en-US"/>
        </w:rPr>
        <w:t>ю</w:t>
      </w:r>
      <w:r w:rsidRPr="0078496B">
        <w:rPr>
          <w:sz w:val="24"/>
          <w:szCs w:val="24"/>
          <w:lang w:eastAsia="en-US"/>
        </w:rPr>
        <w:t xml:space="preserve"> </w:t>
      </w:r>
      <w:r w:rsidRPr="0078496B">
        <w:rPr>
          <w:sz w:val="24"/>
          <w:szCs w:val="24"/>
        </w:rPr>
        <w:t>субъект</w:t>
      </w:r>
      <w:r>
        <w:rPr>
          <w:sz w:val="24"/>
          <w:szCs w:val="24"/>
        </w:rPr>
        <w:t>ами</w:t>
      </w:r>
      <w:r w:rsidRPr="0078496B">
        <w:rPr>
          <w:sz w:val="24"/>
          <w:szCs w:val="24"/>
        </w:rPr>
        <w:t xml:space="preserve"> внутреннего финансового контроля и аудита</w:t>
      </w:r>
      <w:r w:rsidRPr="0078496B">
        <w:rPr>
          <w:sz w:val="24"/>
          <w:szCs w:val="24"/>
          <w:lang w:eastAsia="en-US"/>
        </w:rPr>
        <w:t xml:space="preserve"> за </w:t>
      </w:r>
      <w:r>
        <w:rPr>
          <w:sz w:val="24"/>
          <w:szCs w:val="24"/>
          <w:lang w:eastAsia="en-US"/>
        </w:rPr>
        <w:t xml:space="preserve">4 квартал </w:t>
      </w:r>
      <w:r w:rsidRPr="0078496B">
        <w:rPr>
          <w:sz w:val="24"/>
          <w:szCs w:val="24"/>
          <w:lang w:eastAsia="en-US"/>
        </w:rPr>
        <w:t>2015 года показал</w:t>
      </w:r>
      <w:r>
        <w:rPr>
          <w:sz w:val="24"/>
          <w:szCs w:val="24"/>
          <w:lang w:eastAsia="en-US"/>
        </w:rPr>
        <w:t>:</w:t>
      </w:r>
    </w:p>
    <w:p w:rsidR="00B524BF" w:rsidRDefault="00B524BF" w:rsidP="002A00A0">
      <w:pPr>
        <w:numPr>
          <w:ilvl w:val="0"/>
          <w:numId w:val="9"/>
        </w:numPr>
        <w:jc w:val="both"/>
        <w:rPr>
          <w:sz w:val="24"/>
          <w:szCs w:val="24"/>
          <w:lang w:eastAsia="en-US"/>
        </w:rPr>
      </w:pPr>
      <w:r>
        <w:rPr>
          <w:sz w:val="24"/>
          <w:szCs w:val="24"/>
          <w:lang w:eastAsia="en-US"/>
        </w:rPr>
        <w:t>П</w:t>
      </w:r>
      <w:r w:rsidRPr="0078496B">
        <w:rPr>
          <w:sz w:val="24"/>
          <w:szCs w:val="24"/>
          <w:lang w:eastAsia="en-US"/>
        </w:rPr>
        <w:t xml:space="preserve">олномочия </w:t>
      </w:r>
      <w:r w:rsidRPr="0078496B">
        <w:rPr>
          <w:sz w:val="24"/>
          <w:szCs w:val="24"/>
        </w:rPr>
        <w:t>субъектами внутреннего финансового контроля и аудита</w:t>
      </w:r>
      <w:r>
        <w:rPr>
          <w:sz w:val="24"/>
          <w:szCs w:val="24"/>
        </w:rPr>
        <w:t xml:space="preserve"> </w:t>
      </w:r>
      <w:r>
        <w:rPr>
          <w:sz w:val="24"/>
          <w:szCs w:val="24"/>
          <w:lang w:eastAsia="en-US"/>
        </w:rPr>
        <w:t xml:space="preserve">осуществлялись </w:t>
      </w:r>
      <w:r>
        <w:rPr>
          <w:sz w:val="24"/>
          <w:szCs w:val="24"/>
        </w:rPr>
        <w:t>только</w:t>
      </w:r>
      <w:r w:rsidRPr="0078496B">
        <w:rPr>
          <w:sz w:val="24"/>
          <w:szCs w:val="24"/>
        </w:rPr>
        <w:t xml:space="preserve"> в части </w:t>
      </w:r>
      <w:r w:rsidRPr="0078496B">
        <w:rPr>
          <w:sz w:val="24"/>
          <w:szCs w:val="24"/>
          <w:lang w:eastAsia="en-US"/>
        </w:rPr>
        <w:t xml:space="preserve">мероприятий по внутреннему финансовому </w:t>
      </w:r>
      <w:r w:rsidRPr="002A00A0">
        <w:rPr>
          <w:sz w:val="24"/>
          <w:szCs w:val="24"/>
          <w:u w:val="single"/>
          <w:lang w:eastAsia="en-US"/>
        </w:rPr>
        <w:t>контролю</w:t>
      </w:r>
      <w:r w:rsidRPr="0078496B">
        <w:rPr>
          <w:sz w:val="24"/>
          <w:szCs w:val="24"/>
          <w:lang w:eastAsia="en-US"/>
        </w:rPr>
        <w:t xml:space="preserve"> в соответствии со ст. 160.2-1 Бюджетного кодекса РФ</w:t>
      </w:r>
      <w:r>
        <w:rPr>
          <w:sz w:val="24"/>
          <w:szCs w:val="24"/>
          <w:lang w:eastAsia="en-US"/>
        </w:rPr>
        <w:t xml:space="preserve"> (внутренний финансовый аудит не осуществлялся)</w:t>
      </w:r>
      <w:r w:rsidRPr="0078496B">
        <w:rPr>
          <w:sz w:val="24"/>
          <w:szCs w:val="24"/>
          <w:lang w:eastAsia="en-US"/>
        </w:rPr>
        <w:t xml:space="preserve">. </w:t>
      </w:r>
    </w:p>
    <w:p w:rsidR="00B524BF" w:rsidRPr="00194C6C" w:rsidRDefault="00B524BF" w:rsidP="00194C6C">
      <w:pPr>
        <w:numPr>
          <w:ilvl w:val="0"/>
          <w:numId w:val="9"/>
        </w:numPr>
        <w:jc w:val="both"/>
        <w:rPr>
          <w:b/>
          <w:bCs/>
          <w:sz w:val="24"/>
          <w:szCs w:val="24"/>
        </w:rPr>
      </w:pPr>
      <w:r>
        <w:rPr>
          <w:sz w:val="24"/>
          <w:szCs w:val="24"/>
        </w:rPr>
        <w:t>Внутренний финансовый контроль</w:t>
      </w:r>
      <w:r w:rsidRPr="0078496B">
        <w:rPr>
          <w:sz w:val="24"/>
          <w:szCs w:val="24"/>
        </w:rPr>
        <w:t xml:space="preserve"> </w:t>
      </w:r>
      <w:r>
        <w:rPr>
          <w:sz w:val="24"/>
          <w:szCs w:val="24"/>
        </w:rPr>
        <w:t>субъектами</w:t>
      </w:r>
      <w:r w:rsidRPr="0078496B">
        <w:rPr>
          <w:sz w:val="24"/>
          <w:szCs w:val="24"/>
        </w:rPr>
        <w:t xml:space="preserve"> внутреннего финансового контроля и аудита </w:t>
      </w:r>
      <w:r>
        <w:rPr>
          <w:sz w:val="24"/>
          <w:szCs w:val="24"/>
          <w:lang w:eastAsia="en-US"/>
        </w:rPr>
        <w:t xml:space="preserve">осуществляется не по всем внутренним бюджетным процедурам и составляющим их процессов, предусмотренных пунктом 7 </w:t>
      </w:r>
      <w:r w:rsidRPr="0078496B">
        <w:rPr>
          <w:sz w:val="24"/>
          <w:szCs w:val="24"/>
        </w:rPr>
        <w:t>Порядка осуществления главными распорядителями бюджетных средств муниципального образования «Дебесский район», главными администраторами доходов бюджета муниципального образования «Дебесский район», главными администраторами источников финансирования дефицита бюджета муниципального образования «Дебесский район» внутреннего финансового контроля и внутреннего финансового аудита, утвержденного постановлением Администрации от 31 декабря 2014 года № 253</w:t>
      </w:r>
      <w:r>
        <w:rPr>
          <w:sz w:val="24"/>
          <w:szCs w:val="24"/>
        </w:rPr>
        <w:t xml:space="preserve"> (в редакции Постановления № 268 от 09.11.2015 г.).</w:t>
      </w:r>
    </w:p>
    <w:p w:rsidR="00B524BF" w:rsidRPr="0078496B" w:rsidRDefault="00B524BF" w:rsidP="00194C6C">
      <w:pPr>
        <w:jc w:val="both"/>
        <w:rPr>
          <w:b/>
          <w:bCs/>
          <w:sz w:val="24"/>
          <w:szCs w:val="24"/>
        </w:rPr>
      </w:pPr>
      <w:r w:rsidRPr="0078496B">
        <w:rPr>
          <w:b/>
          <w:bCs/>
          <w:sz w:val="24"/>
          <w:szCs w:val="24"/>
        </w:rPr>
        <w:t>Рекомендации</w:t>
      </w:r>
      <w:r>
        <w:rPr>
          <w:b/>
          <w:bCs/>
          <w:sz w:val="24"/>
          <w:szCs w:val="24"/>
        </w:rPr>
        <w:t xml:space="preserve"> на 2016 год</w:t>
      </w:r>
      <w:r w:rsidRPr="0078496B">
        <w:rPr>
          <w:b/>
          <w:bCs/>
          <w:sz w:val="24"/>
          <w:szCs w:val="24"/>
        </w:rPr>
        <w:t>:</w:t>
      </w:r>
    </w:p>
    <w:p w:rsidR="00B524BF" w:rsidRDefault="00B524BF" w:rsidP="0078496B">
      <w:pPr>
        <w:ind w:firstLine="720"/>
        <w:jc w:val="both"/>
        <w:rPr>
          <w:sz w:val="24"/>
          <w:szCs w:val="24"/>
        </w:rPr>
      </w:pPr>
      <w:r>
        <w:rPr>
          <w:sz w:val="24"/>
          <w:szCs w:val="24"/>
        </w:rPr>
        <w:t>В</w:t>
      </w:r>
      <w:r w:rsidRPr="0078496B">
        <w:rPr>
          <w:sz w:val="24"/>
          <w:szCs w:val="24"/>
        </w:rPr>
        <w:t xml:space="preserve"> целях повышения эффективности осуществления внутреннего финансового контроля  и аудита необходимо:</w:t>
      </w:r>
    </w:p>
    <w:p w:rsidR="00B524BF" w:rsidRDefault="00B524BF" w:rsidP="0072423A">
      <w:pPr>
        <w:numPr>
          <w:ilvl w:val="0"/>
          <w:numId w:val="9"/>
        </w:numPr>
        <w:jc w:val="both"/>
        <w:rPr>
          <w:sz w:val="24"/>
          <w:szCs w:val="24"/>
        </w:rPr>
      </w:pPr>
      <w:r>
        <w:rPr>
          <w:sz w:val="24"/>
          <w:szCs w:val="24"/>
        </w:rPr>
        <w:t xml:space="preserve">Внести необходимые изменения в локальные нормативные правовые акты по </w:t>
      </w:r>
      <w:r w:rsidRPr="0078496B">
        <w:rPr>
          <w:sz w:val="24"/>
          <w:szCs w:val="24"/>
        </w:rPr>
        <w:t>внутреннего финансового контроля и аудита</w:t>
      </w:r>
      <w:r>
        <w:rPr>
          <w:sz w:val="24"/>
          <w:szCs w:val="24"/>
        </w:rPr>
        <w:t>, в том числе по</w:t>
      </w:r>
      <w:r w:rsidRPr="00EB3B1D">
        <w:rPr>
          <w:sz w:val="24"/>
          <w:szCs w:val="24"/>
          <w:lang w:eastAsia="en-US"/>
        </w:rPr>
        <w:t xml:space="preserve"> </w:t>
      </w:r>
      <w:r>
        <w:rPr>
          <w:sz w:val="24"/>
          <w:szCs w:val="24"/>
          <w:lang w:eastAsia="en-US"/>
        </w:rPr>
        <w:t>внутренним бюджетным процедурам и составляющим их процессов</w:t>
      </w:r>
      <w:r>
        <w:rPr>
          <w:sz w:val="24"/>
          <w:szCs w:val="24"/>
        </w:rPr>
        <w:t>.</w:t>
      </w:r>
    </w:p>
    <w:p w:rsidR="00B524BF" w:rsidRDefault="00B524BF" w:rsidP="0072423A">
      <w:pPr>
        <w:numPr>
          <w:ilvl w:val="0"/>
          <w:numId w:val="9"/>
        </w:numPr>
        <w:jc w:val="both"/>
        <w:rPr>
          <w:sz w:val="24"/>
          <w:szCs w:val="24"/>
        </w:rPr>
      </w:pPr>
      <w:r>
        <w:rPr>
          <w:sz w:val="24"/>
          <w:szCs w:val="24"/>
        </w:rPr>
        <w:t>З</w:t>
      </w:r>
      <w:r w:rsidRPr="0078496B">
        <w:rPr>
          <w:sz w:val="24"/>
          <w:szCs w:val="24"/>
        </w:rPr>
        <w:t xml:space="preserve">акрепить полномочия по осуществлению внутреннего финансового контроля и аудита </w:t>
      </w:r>
      <w:r>
        <w:rPr>
          <w:sz w:val="24"/>
          <w:szCs w:val="24"/>
        </w:rPr>
        <w:t>за конкретными должностными лицами.</w:t>
      </w:r>
    </w:p>
    <w:p w:rsidR="00B524BF" w:rsidRDefault="00B524BF" w:rsidP="0072423A">
      <w:pPr>
        <w:numPr>
          <w:ilvl w:val="0"/>
          <w:numId w:val="9"/>
        </w:numPr>
        <w:jc w:val="both"/>
        <w:rPr>
          <w:sz w:val="24"/>
          <w:szCs w:val="24"/>
        </w:rPr>
      </w:pPr>
      <w:r>
        <w:rPr>
          <w:sz w:val="24"/>
          <w:szCs w:val="24"/>
        </w:rPr>
        <w:t>Организовать работу по внутреннему финансовому</w:t>
      </w:r>
      <w:r w:rsidRPr="0078496B">
        <w:rPr>
          <w:sz w:val="24"/>
          <w:szCs w:val="24"/>
        </w:rPr>
        <w:t xml:space="preserve"> </w:t>
      </w:r>
      <w:r>
        <w:rPr>
          <w:sz w:val="24"/>
          <w:szCs w:val="24"/>
        </w:rPr>
        <w:t>аудиту.</w:t>
      </w:r>
    </w:p>
    <w:p w:rsidR="00B524BF" w:rsidRPr="0078496B" w:rsidRDefault="00B524BF" w:rsidP="0072423A">
      <w:pPr>
        <w:numPr>
          <w:ilvl w:val="0"/>
          <w:numId w:val="9"/>
        </w:numPr>
        <w:jc w:val="both"/>
        <w:rPr>
          <w:sz w:val="24"/>
          <w:szCs w:val="24"/>
        </w:rPr>
      </w:pPr>
      <w:r>
        <w:rPr>
          <w:sz w:val="24"/>
          <w:szCs w:val="24"/>
        </w:rPr>
        <w:t>О</w:t>
      </w:r>
      <w:r w:rsidRPr="0078496B">
        <w:rPr>
          <w:sz w:val="24"/>
          <w:szCs w:val="24"/>
        </w:rPr>
        <w:t>беспечить повышение квалификации специалистов, осуществляющих внутренний финансовый контроль и аудит.</w:t>
      </w:r>
    </w:p>
    <w:sectPr w:rsidR="00B524BF" w:rsidRPr="0078496B" w:rsidSect="001B5770">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81DB8"/>
    <w:multiLevelType w:val="hybridMultilevel"/>
    <w:tmpl w:val="04AE079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C6E12E2"/>
    <w:multiLevelType w:val="hybridMultilevel"/>
    <w:tmpl w:val="12C218D4"/>
    <w:lvl w:ilvl="0" w:tplc="A10CD6D4">
      <w:start w:val="1"/>
      <w:numFmt w:val="decimal"/>
      <w:lvlText w:val="%1)"/>
      <w:lvlJc w:val="left"/>
      <w:pPr>
        <w:ind w:left="634" w:hanging="600"/>
      </w:pPr>
      <w:rPr>
        <w:rFonts w:hint="default"/>
      </w:rPr>
    </w:lvl>
    <w:lvl w:ilvl="1" w:tplc="04190019">
      <w:start w:val="1"/>
      <w:numFmt w:val="lowerLetter"/>
      <w:lvlText w:val="%2."/>
      <w:lvlJc w:val="left"/>
      <w:pPr>
        <w:ind w:left="1114" w:hanging="360"/>
      </w:pPr>
    </w:lvl>
    <w:lvl w:ilvl="2" w:tplc="0419001B">
      <w:start w:val="1"/>
      <w:numFmt w:val="lowerRoman"/>
      <w:lvlText w:val="%3."/>
      <w:lvlJc w:val="right"/>
      <w:pPr>
        <w:ind w:left="1834" w:hanging="180"/>
      </w:pPr>
    </w:lvl>
    <w:lvl w:ilvl="3" w:tplc="0419000F">
      <w:start w:val="1"/>
      <w:numFmt w:val="decimal"/>
      <w:lvlText w:val="%4."/>
      <w:lvlJc w:val="left"/>
      <w:pPr>
        <w:ind w:left="2554" w:hanging="360"/>
      </w:pPr>
    </w:lvl>
    <w:lvl w:ilvl="4" w:tplc="04190019">
      <w:start w:val="1"/>
      <w:numFmt w:val="lowerLetter"/>
      <w:lvlText w:val="%5."/>
      <w:lvlJc w:val="left"/>
      <w:pPr>
        <w:ind w:left="3274" w:hanging="360"/>
      </w:pPr>
    </w:lvl>
    <w:lvl w:ilvl="5" w:tplc="0419001B">
      <w:start w:val="1"/>
      <w:numFmt w:val="lowerRoman"/>
      <w:lvlText w:val="%6."/>
      <w:lvlJc w:val="right"/>
      <w:pPr>
        <w:ind w:left="3994" w:hanging="180"/>
      </w:pPr>
    </w:lvl>
    <w:lvl w:ilvl="6" w:tplc="0419000F">
      <w:start w:val="1"/>
      <w:numFmt w:val="decimal"/>
      <w:lvlText w:val="%7."/>
      <w:lvlJc w:val="left"/>
      <w:pPr>
        <w:ind w:left="4714" w:hanging="360"/>
      </w:pPr>
    </w:lvl>
    <w:lvl w:ilvl="7" w:tplc="04190019">
      <w:start w:val="1"/>
      <w:numFmt w:val="lowerLetter"/>
      <w:lvlText w:val="%8."/>
      <w:lvlJc w:val="left"/>
      <w:pPr>
        <w:ind w:left="5434" w:hanging="360"/>
      </w:pPr>
    </w:lvl>
    <w:lvl w:ilvl="8" w:tplc="0419001B">
      <w:start w:val="1"/>
      <w:numFmt w:val="lowerRoman"/>
      <w:lvlText w:val="%9."/>
      <w:lvlJc w:val="right"/>
      <w:pPr>
        <w:ind w:left="6154" w:hanging="180"/>
      </w:pPr>
    </w:lvl>
  </w:abstractNum>
  <w:abstractNum w:abstractNumId="2">
    <w:nsid w:val="464214DF"/>
    <w:multiLevelType w:val="multilevel"/>
    <w:tmpl w:val="04AE07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B6478DD"/>
    <w:multiLevelType w:val="hybridMultilevel"/>
    <w:tmpl w:val="E042E51A"/>
    <w:lvl w:ilvl="0" w:tplc="A210B554">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FE54E98"/>
    <w:multiLevelType w:val="hybridMultilevel"/>
    <w:tmpl w:val="66400A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3C7097E"/>
    <w:multiLevelType w:val="hybridMultilevel"/>
    <w:tmpl w:val="A41AE2BC"/>
    <w:lvl w:ilvl="0" w:tplc="A210B554">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655B1E64"/>
    <w:multiLevelType w:val="hybridMultilevel"/>
    <w:tmpl w:val="275A23C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6313DFC"/>
    <w:multiLevelType w:val="hybridMultilevel"/>
    <w:tmpl w:val="DB12F32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69B34D92"/>
    <w:multiLevelType w:val="hybridMultilevel"/>
    <w:tmpl w:val="DFBCED4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
  </w:num>
  <w:num w:numId="7">
    <w:abstractNumId w:val="2"/>
  </w:num>
  <w:num w:numId="8">
    <w:abstractNumId w:val="6"/>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5248"/>
    <w:rsid w:val="000845D5"/>
    <w:rsid w:val="00194C6C"/>
    <w:rsid w:val="001B5770"/>
    <w:rsid w:val="001D2FE7"/>
    <w:rsid w:val="002A00A0"/>
    <w:rsid w:val="00320C84"/>
    <w:rsid w:val="003A71A7"/>
    <w:rsid w:val="003E20DB"/>
    <w:rsid w:val="0042088A"/>
    <w:rsid w:val="0044779D"/>
    <w:rsid w:val="005B5248"/>
    <w:rsid w:val="006246E8"/>
    <w:rsid w:val="00654C3E"/>
    <w:rsid w:val="00671292"/>
    <w:rsid w:val="0072423A"/>
    <w:rsid w:val="0078496B"/>
    <w:rsid w:val="008D63FA"/>
    <w:rsid w:val="009538F7"/>
    <w:rsid w:val="009724DD"/>
    <w:rsid w:val="00977041"/>
    <w:rsid w:val="00A01A7B"/>
    <w:rsid w:val="00A14E49"/>
    <w:rsid w:val="00A638F3"/>
    <w:rsid w:val="00B524BF"/>
    <w:rsid w:val="00B71C64"/>
    <w:rsid w:val="00C423DA"/>
    <w:rsid w:val="00C82A73"/>
    <w:rsid w:val="00CB41C5"/>
    <w:rsid w:val="00D27003"/>
    <w:rsid w:val="00DB1F73"/>
    <w:rsid w:val="00E06136"/>
    <w:rsid w:val="00E351C8"/>
    <w:rsid w:val="00E76EEC"/>
    <w:rsid w:val="00EB3B1D"/>
    <w:rsid w:val="00F03D9F"/>
    <w:rsid w:val="00F234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248"/>
    <w:rPr>
      <w:rFonts w:ascii="Times New Roman" w:eastAsia="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B5248"/>
    <w:pPr>
      <w:ind w:left="720"/>
    </w:pPr>
  </w:style>
  <w:style w:type="table" w:styleId="TableGrid">
    <w:name w:val="Table Grid"/>
    <w:basedOn w:val="TableNormal"/>
    <w:uiPriority w:val="99"/>
    <w:rsid w:val="005B5248"/>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13688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321</TotalTime>
  <Pages>2</Pages>
  <Words>600</Words>
  <Characters>3421</Characters>
  <Application>Microsoft Office Outlook</Application>
  <DocSecurity>0</DocSecurity>
  <Lines>0</Lines>
  <Paragraphs>0</Paragraphs>
  <ScaleCrop>false</ScaleCrop>
  <Company>None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lem003</cp:lastModifiedBy>
  <cp:revision>16</cp:revision>
  <cp:lastPrinted>2015-10-30T05:04:00Z</cp:lastPrinted>
  <dcterms:created xsi:type="dcterms:W3CDTF">2015-09-23T07:06:00Z</dcterms:created>
  <dcterms:modified xsi:type="dcterms:W3CDTF">2016-01-14T10:33:00Z</dcterms:modified>
</cp:coreProperties>
</file>